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45C9" w14:textId="3B357188" w:rsidR="001760A0" w:rsidRDefault="00757E54" w:rsidP="006762DA">
      <w:pPr>
        <w:spacing w:after="120" w:line="276" w:lineRule="auto"/>
        <w:jc w:val="both"/>
        <w:rPr>
          <w:rFonts w:ascii="Calibri" w:hAnsi="Calibri" w:cs="Calibri"/>
        </w:rPr>
      </w:pPr>
      <w:r>
        <w:rPr>
          <w:rFonts w:ascii="Calibri" w:hAnsi="Calibri"/>
        </w:rPr>
        <w:t>25MOC-107</w:t>
      </w:r>
    </w:p>
    <w:p w14:paraId="0128D446" w14:textId="5B1A930D" w:rsidR="001D681E" w:rsidRPr="001D681E" w:rsidRDefault="001D681E" w:rsidP="001D681E">
      <w:pPr>
        <w:spacing w:after="120" w:line="276" w:lineRule="auto"/>
        <w:jc w:val="both"/>
        <w:rPr>
          <w:rFonts w:ascii="Calibri" w:hAnsi="Calibri" w:cs="Calibri"/>
        </w:rPr>
      </w:pPr>
      <w:r>
        <w:rPr>
          <w:rFonts w:ascii="Calibri" w:hAnsi="Calibri"/>
        </w:rPr>
        <w:t>Geroa Bai talde parlamentarioaren eledun Pablo Azcona Molinet jaunak, Legebiltzarreko Erregelamenduan xedatuaren babesean, honako mozio hau aurkezten du, Osoko Bilkuran eztabaidatu eta bozkatzeko. Mozio horren jarraipena Landa Garapenerako eta Ingurumeneko Batzordean eginen da.</w:t>
      </w:r>
    </w:p>
    <w:p w14:paraId="240E58EA" w14:textId="3ADA1DC1" w:rsidR="00757E54" w:rsidRDefault="001D681E" w:rsidP="001D681E">
      <w:pPr>
        <w:spacing w:after="120" w:line="276" w:lineRule="auto"/>
        <w:jc w:val="both"/>
        <w:rPr>
          <w:rFonts w:ascii="Calibri" w:hAnsi="Calibri" w:cs="Calibri"/>
        </w:rPr>
      </w:pPr>
      <w:r>
        <w:rPr>
          <w:rFonts w:ascii="Calibri" w:hAnsi="Calibri"/>
        </w:rPr>
        <w:t>Nekazaritza- eta abeltzaintza-azpiegituretan energia berriztagarriak sartzeko prozesua eta hondakinen kudeaketarako eta tratamendurako ekonomia zirkularraren printzipioak baliatzea (aprobetxamendu energetikorako edo ongarritze kimiko edo mineralaren ordezko ongarritze organikoko elementu gisa) funtsezko jasangarritasun- eta lehiakortasun-faktoreak dira lehen sektorean, ekonomiaren deskarbonizazioari arian-arian aurre egiteko beharrari eta emergentzia klimatikoari erantzuten laguntzen ari diren estrategiak izateaz gain. Beraz, hori etorkizunerako bide bat da eta, aldi berean, aukera bat ere bai, Nafarroako pertsonek, familiek eta nekazaritza- eta abeltzaintza-enpresek bermez ekin ahal diezaieten lehen sektoreak foru-erkidegoan dauzkan erronkei; izan ere, lehen sektoreak une kritikoa bizi du egun Europa osoan.</w:t>
      </w:r>
    </w:p>
    <w:p w14:paraId="653BD867" w14:textId="71A851F5" w:rsidR="001D681E" w:rsidRPr="001D681E" w:rsidRDefault="001D681E" w:rsidP="001D681E">
      <w:pPr>
        <w:spacing w:after="120" w:line="276" w:lineRule="auto"/>
        <w:jc w:val="both"/>
        <w:rPr>
          <w:rFonts w:ascii="Calibri" w:hAnsi="Calibri" w:cs="Calibri"/>
        </w:rPr>
      </w:pPr>
      <w:r>
        <w:rPr>
          <w:rFonts w:ascii="Calibri" w:hAnsi="Calibri"/>
        </w:rPr>
        <w:t>Estrategia horiek, aldi berean, bateragarriak izan behar dute lurralde-oreka jasangarriaren printzipioarekin, energia berriztagarrietako eta ekonomia zirkularreko azpiegitura-instalazioekin konprometitutako udalen interes orokorraren printzipioarekin eta herritarren ongizatearen eta bizi-kalitatearen printzipioarekin. Halatan, ezarpen horiek jasangarritasuna bermatu behar dute (ingurumenaren, ekonomiaren eta gizartearen ikuspegitik, hain zuzen ere), eta administrazio publikoen ardura da (foru-administrazioarena nahiz udalena) hori zaintzea.</w:t>
      </w:r>
    </w:p>
    <w:p w14:paraId="71F6BD22" w14:textId="3DAAE561" w:rsidR="001D681E" w:rsidRPr="001D681E" w:rsidRDefault="001D681E" w:rsidP="001D681E">
      <w:pPr>
        <w:spacing w:after="120" w:line="276" w:lineRule="auto"/>
        <w:jc w:val="both"/>
        <w:rPr>
          <w:rFonts w:ascii="Calibri" w:hAnsi="Calibri" w:cs="Calibri"/>
        </w:rPr>
      </w:pPr>
      <w:r>
        <w:rPr>
          <w:rFonts w:ascii="Calibri" w:hAnsi="Calibri"/>
        </w:rPr>
        <w:t>Biometanoa energia berriztagarriaren iturri bat da, nekazaritza- eta abeltzaintza-ustiategietan sortzen diren hondakin organiko biodegradagarrien tratamendu-prozesutik sortzen dena, hondakin horiek hurbileko esparru batean berrerabili ahal izan daitezen. Enpresa asko daude Nafarroako zenbait tokitan biometanizazio-plantak paratzeko interesa dutenak, bereziki Erriberagoienan, Tuterako Erriberan eta Nafarroako Erdialdean; hori, zalantzarik gabe, aukera bat izan daiteke lehen sektorearentzat, baina orobat eskatzen du plangintza-, erregulazio- eta adostasun-esparru bat ezartzea ukitutako eragileekin, garapen neurrigabea ekiditeko eta ezarpen hori modu ordenatuan eta ingurumen- eta lurralde-jasangarritasunaren printzipioen arabera egiten dela bermatzeko.</w:t>
      </w:r>
    </w:p>
    <w:p w14:paraId="41D40F3E" w14:textId="57DDBAEC" w:rsidR="001D681E" w:rsidRPr="001D681E" w:rsidRDefault="001D681E" w:rsidP="001D681E">
      <w:pPr>
        <w:spacing w:after="120" w:line="276" w:lineRule="auto"/>
        <w:jc w:val="both"/>
        <w:rPr>
          <w:rFonts w:ascii="Calibri" w:hAnsi="Calibri" w:cs="Calibri"/>
        </w:rPr>
      </w:pPr>
      <w:r>
        <w:rPr>
          <w:rFonts w:ascii="Calibri" w:hAnsi="Calibri"/>
        </w:rPr>
        <w:t>Une honetan, Nafarroan sei biometanizazio-planta daude jada baimendurik (Lerínen, Caparroson, Tuteran, Cababillasen, Mendigorrian eta Arakilen), beste zortzi kasuan kasuko ingurumen-baimena izapidetzen ari dira Foru Administrazioan, eta beste hiruk proiektu aurreko kontsultak egin dituzte. Guztira, 17 proiektu dira, zenbait eskualdetan banaturik; horrek esan nahi du Foru Administrazioak ikuspegi global batekin aztertu behar dituela proiektu horiek, eta modu orekatuan garatzen direla bermatu behar duela, interes orokorra eta lurralde-interesa aldeztuz eta ukitutako toki-entitateak aintzat hartuz.</w:t>
      </w:r>
    </w:p>
    <w:p w14:paraId="17F057DA" w14:textId="0A31CF2A" w:rsidR="001D681E" w:rsidRPr="001D681E" w:rsidRDefault="001D681E" w:rsidP="001D681E">
      <w:pPr>
        <w:spacing w:after="120" w:line="276" w:lineRule="auto"/>
        <w:jc w:val="both"/>
        <w:rPr>
          <w:rFonts w:ascii="Calibri" w:hAnsi="Calibri" w:cs="Calibri"/>
        </w:rPr>
      </w:pPr>
      <w:r>
        <w:rPr>
          <w:rFonts w:ascii="Calibri" w:hAnsi="Calibri"/>
        </w:rPr>
        <w:t>Halaber, proiektaturiko planta horien tamaina nabarmen aldatzen da bata bestearekin alderatuta: Murillo el Cuenden 213.000 tona aurreikusten dira urtean; Sesman, 184.000; Arroitzen, 140.000, eta Vianan, berriz, 124.000. Beste batzuk, berriz, txikiagoak dira: Cabanillasen, 53.000; Valtierran, 45.000; eta Artaxoan, 26.000.</w:t>
      </w:r>
    </w:p>
    <w:p w14:paraId="27CC7B0F" w14:textId="1C4CEC8A" w:rsidR="001D681E" w:rsidRDefault="001D681E" w:rsidP="001D681E">
      <w:pPr>
        <w:spacing w:after="120" w:line="276" w:lineRule="auto"/>
        <w:jc w:val="both"/>
        <w:rPr>
          <w:rFonts w:ascii="Calibri" w:hAnsi="Calibri" w:cs="Calibri"/>
        </w:rPr>
      </w:pPr>
      <w:r>
        <w:rPr>
          <w:rFonts w:ascii="Calibri" w:hAnsi="Calibri"/>
        </w:rPr>
        <w:t xml:space="preserve">Administrazioak orobat zaindu behar du, exijitzen ahal diren beste betekizunen artean, planta horietako bakoitzak jasotzen dituen hondakinen jatorriaren nahiz trazabilitatearen gaineko </w:t>
      </w:r>
      <w:r>
        <w:rPr>
          <w:rFonts w:ascii="Calibri" w:hAnsi="Calibri"/>
        </w:rPr>
        <w:lastRenderedPageBreak/>
        <w:t>kontrol-sistema zorrotzak ezartzen dituela, kudeatze-lana biltegi estalietan egiteko plana betetzen dela, lortzen den ongarria edo energia ingurune hurbilean erabiltzen dela, nekazaritza-ustiategiekiko edo hiriguneekiko gutxieneko distantzia gordetzen dela, trafiko astunaren mugikortasuna kontrolatzen dela eta olfatometrien neurketa periodikoa egiten dela.</w:t>
      </w:r>
    </w:p>
    <w:p w14:paraId="60A04813" w14:textId="0B0D9727" w:rsidR="001D681E" w:rsidRPr="001D681E" w:rsidRDefault="001D681E" w:rsidP="001D681E">
      <w:pPr>
        <w:spacing w:after="120" w:line="276" w:lineRule="auto"/>
        <w:jc w:val="both"/>
        <w:rPr>
          <w:rFonts w:ascii="Calibri" w:hAnsi="Calibri" w:cs="Calibri"/>
        </w:rPr>
      </w:pPr>
      <w:r>
        <w:rPr>
          <w:rFonts w:ascii="Calibri" w:hAnsi="Calibri"/>
        </w:rPr>
        <w:t>Proiektu-mota horiek zorrotz-zorrotz bete behar dituzte kasuko ingurumen-baimenak edo udalaren hirigintza-antolamenduak exijitzen dizkien betekizun tekniko guztiak, baina ukitutako toki-entitateen aurretiazko informazioa, parte-hartzea eta adostasuna ere eduki behar dituzte aldi berean, ez soilik instalazioa paratuko den udalerrikoena, ezpada herri mugakideetakoena ere, gertu egoteagatik proiektu-mota horiek ukituak izan daitezkeelako.</w:t>
      </w:r>
    </w:p>
    <w:p w14:paraId="343A43CB" w14:textId="3C4F9D1F" w:rsidR="001D681E" w:rsidRPr="001D681E" w:rsidRDefault="001D681E" w:rsidP="001D681E">
      <w:pPr>
        <w:spacing w:after="120" w:line="276" w:lineRule="auto"/>
        <w:jc w:val="both"/>
        <w:rPr>
          <w:rFonts w:ascii="Calibri" w:hAnsi="Calibri" w:cs="Calibri"/>
          <w:b/>
          <w:bCs/>
        </w:rPr>
      </w:pPr>
      <w:r>
        <w:rPr>
          <w:rFonts w:ascii="Calibri" w:hAnsi="Calibri"/>
        </w:rPr>
        <w:t>Hori guztia kontuan hartuta, honako erabaki-proposamen hau aurkezten dugu:</w:t>
      </w:r>
    </w:p>
    <w:p w14:paraId="6A1153F4" w14:textId="56C95607" w:rsidR="001D681E" w:rsidRPr="001D681E" w:rsidRDefault="001D681E" w:rsidP="001D681E">
      <w:pPr>
        <w:spacing w:after="120" w:line="276" w:lineRule="auto"/>
        <w:jc w:val="both"/>
        <w:rPr>
          <w:rFonts w:ascii="Calibri" w:hAnsi="Calibri" w:cs="Calibri"/>
        </w:rPr>
      </w:pPr>
      <w:r>
        <w:rPr>
          <w:rFonts w:ascii="Calibri" w:hAnsi="Calibri"/>
        </w:rPr>
        <w:t xml:space="preserve">1. Nafarroako Parlamentuak Nafarroako Gobernua premiatzen du beharrizanen azterlan bat egin dezan biometano-plantak Nafarroan instalatzeari buruz. </w:t>
      </w:r>
    </w:p>
    <w:p w14:paraId="488B2310" w14:textId="7377A956" w:rsidR="001D681E" w:rsidRPr="001D681E" w:rsidRDefault="001D681E" w:rsidP="001D681E">
      <w:pPr>
        <w:spacing w:after="120" w:line="276" w:lineRule="auto"/>
        <w:jc w:val="both"/>
        <w:rPr>
          <w:rFonts w:ascii="Calibri" w:hAnsi="Calibri" w:cs="Calibri"/>
        </w:rPr>
      </w:pPr>
      <w:r>
        <w:rPr>
          <w:rFonts w:ascii="Calibri" w:hAnsi="Calibri"/>
        </w:rPr>
        <w:t>2. Nafarroako Parlamentuak Nafarroako Gobernua premiatzen du proiektu-mota horiek ez daitezen landu instalatu nahi diren udalerrien adostasunarekin soilik, ezpada toki-entitate mugakideen adostasunarekin ere, hurbiltasunagatik ukituak suerta daitezkeelako planta horien ezarpenak berekin dakartzan ingurumen-, paisaia- nahiz gizarte-eraginen eskutik.</w:t>
      </w:r>
    </w:p>
    <w:p w14:paraId="1A9DA0AF" w14:textId="51D356C6" w:rsidR="001D681E" w:rsidRPr="001D681E" w:rsidRDefault="001D681E" w:rsidP="001D681E">
      <w:pPr>
        <w:spacing w:after="120" w:line="276" w:lineRule="auto"/>
        <w:jc w:val="both"/>
        <w:rPr>
          <w:rFonts w:ascii="Calibri" w:hAnsi="Calibri" w:cs="Calibri"/>
        </w:rPr>
      </w:pPr>
      <w:r>
        <w:rPr>
          <w:rFonts w:ascii="Calibri" w:hAnsi="Calibri"/>
        </w:rPr>
        <w:t>3. Sesmako biometano-planta instalatzeko proiektuari zehatzari dagokionez, ikusita ez dela kokapenari buruzko gizarte- eta udal-adostasunik lortu zuzenean ukitutako herriekin –bereziki, Lodosarekin, zeinak muga egiten baitu eta zuzenean ukitua suertatzen baita, ezen instalazioa bere herrigunetik bi kilometro eskasera egonen litzateke–, premiatu egiten dira Sesmako Udala eta “Biometano Sesma, SL” enpresa sustatzailea, alda dezaten hasiera batean planteatutako kokapena, eta azter dezaten Nafarroako Gobernuko Landa Garapeneko eta Ingurumeneko Departamentuak planteatu dizkien balizko beste kokapenetako batera lekualdatzea.</w:t>
      </w:r>
    </w:p>
    <w:p w14:paraId="2747A397" w14:textId="6396FFC4" w:rsidR="001D681E" w:rsidRDefault="001D681E" w:rsidP="001D681E">
      <w:pPr>
        <w:spacing w:after="120" w:line="276" w:lineRule="auto"/>
        <w:jc w:val="both"/>
        <w:rPr>
          <w:rFonts w:ascii="Calibri" w:hAnsi="Calibri" w:cs="Calibri"/>
        </w:rPr>
      </w:pPr>
      <w:r>
        <w:rPr>
          <w:rFonts w:ascii="Calibri" w:hAnsi="Calibri"/>
        </w:rPr>
        <w:t>Iruñean, 2025eko abuztuaren 28an</w:t>
      </w:r>
    </w:p>
    <w:p w14:paraId="2DC5BFFA" w14:textId="6A7B2208" w:rsidR="001D681E" w:rsidRDefault="00DC72C1" w:rsidP="001D681E">
      <w:pPr>
        <w:spacing w:after="120" w:line="276" w:lineRule="auto"/>
        <w:jc w:val="both"/>
        <w:rPr>
          <w:rFonts w:ascii="Calibri" w:hAnsi="Calibri" w:cs="Calibri"/>
        </w:rPr>
      </w:pPr>
      <w:r>
        <w:rPr>
          <w:rFonts w:ascii="Calibri" w:hAnsi="Calibri"/>
        </w:rPr>
        <w:t>Eleduna</w:t>
      </w:r>
      <w:r w:rsidR="001D681E">
        <w:rPr>
          <w:rFonts w:ascii="Calibri" w:hAnsi="Calibri"/>
        </w:rPr>
        <w:t>: Pablo Azcona Molinet</w:t>
      </w:r>
    </w:p>
    <w:sectPr w:rsidR="001D68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6709429">
    <w:abstractNumId w:val="3"/>
  </w:num>
  <w:num w:numId="2" w16cid:durableId="209614445">
    <w:abstractNumId w:val="0"/>
  </w:num>
  <w:num w:numId="3" w16cid:durableId="203179108">
    <w:abstractNumId w:val="1"/>
  </w:num>
  <w:num w:numId="4" w16cid:durableId="197710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05EF8"/>
    <w:rsid w:val="00111E9B"/>
    <w:rsid w:val="001760A0"/>
    <w:rsid w:val="00176970"/>
    <w:rsid w:val="001822B7"/>
    <w:rsid w:val="00185723"/>
    <w:rsid w:val="001A7341"/>
    <w:rsid w:val="001D286B"/>
    <w:rsid w:val="001D681E"/>
    <w:rsid w:val="002B5866"/>
    <w:rsid w:val="002C2CBA"/>
    <w:rsid w:val="002F1B15"/>
    <w:rsid w:val="002F7EA0"/>
    <w:rsid w:val="0032291E"/>
    <w:rsid w:val="003623C8"/>
    <w:rsid w:val="0038056F"/>
    <w:rsid w:val="003A50E0"/>
    <w:rsid w:val="003F7434"/>
    <w:rsid w:val="00425A91"/>
    <w:rsid w:val="0045436C"/>
    <w:rsid w:val="00474235"/>
    <w:rsid w:val="004E6C5E"/>
    <w:rsid w:val="005022DF"/>
    <w:rsid w:val="005141D3"/>
    <w:rsid w:val="00517634"/>
    <w:rsid w:val="005778F1"/>
    <w:rsid w:val="00615798"/>
    <w:rsid w:val="00627D2E"/>
    <w:rsid w:val="00653469"/>
    <w:rsid w:val="006747A5"/>
    <w:rsid w:val="006762DA"/>
    <w:rsid w:val="006820C6"/>
    <w:rsid w:val="006B37E8"/>
    <w:rsid w:val="006F16DD"/>
    <w:rsid w:val="00715306"/>
    <w:rsid w:val="0071689D"/>
    <w:rsid w:val="0072313D"/>
    <w:rsid w:val="00727D6C"/>
    <w:rsid w:val="00757E54"/>
    <w:rsid w:val="007B3740"/>
    <w:rsid w:val="00837E2E"/>
    <w:rsid w:val="008870F1"/>
    <w:rsid w:val="008C666C"/>
    <w:rsid w:val="008E408E"/>
    <w:rsid w:val="00911504"/>
    <w:rsid w:val="0094372D"/>
    <w:rsid w:val="00960EDB"/>
    <w:rsid w:val="00984068"/>
    <w:rsid w:val="009A0721"/>
    <w:rsid w:val="00A05A80"/>
    <w:rsid w:val="00A45945"/>
    <w:rsid w:val="00A62289"/>
    <w:rsid w:val="00A87C76"/>
    <w:rsid w:val="00AE2BC2"/>
    <w:rsid w:val="00AE508C"/>
    <w:rsid w:val="00B42F2E"/>
    <w:rsid w:val="00B46472"/>
    <w:rsid w:val="00B93148"/>
    <w:rsid w:val="00BB722E"/>
    <w:rsid w:val="00BD5B8E"/>
    <w:rsid w:val="00BF3DD5"/>
    <w:rsid w:val="00BF6CCC"/>
    <w:rsid w:val="00C00F48"/>
    <w:rsid w:val="00C111F9"/>
    <w:rsid w:val="00C507D2"/>
    <w:rsid w:val="00C65956"/>
    <w:rsid w:val="00CA58B1"/>
    <w:rsid w:val="00CA6AFD"/>
    <w:rsid w:val="00D10586"/>
    <w:rsid w:val="00D207D8"/>
    <w:rsid w:val="00D60FDA"/>
    <w:rsid w:val="00D81915"/>
    <w:rsid w:val="00DA5050"/>
    <w:rsid w:val="00DC72C1"/>
    <w:rsid w:val="00E02692"/>
    <w:rsid w:val="00E62334"/>
    <w:rsid w:val="00E62EC0"/>
    <w:rsid w:val="00EB49AF"/>
    <w:rsid w:val="00EF52EE"/>
    <w:rsid w:val="00F326C3"/>
    <w:rsid w:val="00F81149"/>
    <w:rsid w:val="00F849C4"/>
    <w:rsid w:val="00FC17D8"/>
    <w:rsid w:val="00FD2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860</Words>
  <Characters>4730</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2025-08-29T07:04:00Z</dcterms:created>
  <dcterms:modified xsi:type="dcterms:W3CDTF">2025-09-04T07:21:00Z</dcterms:modified>
</cp:coreProperties>
</file>