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B6D38" w14:textId="77777777" w:rsidR="00211860" w:rsidRDefault="00211860" w:rsidP="007A14AD">
      <w:pPr>
        <w:ind w:firstLine="540"/>
        <w:rPr>
          <w:rFonts w:cs="Arial"/>
          <w:color w:val="000000"/>
          <w:szCs w:val="24"/>
        </w:rPr>
      </w:pPr>
    </w:p>
    <w:p w14:paraId="4249F8C0" w14:textId="77777777" w:rsidR="00D97359" w:rsidRDefault="00D97359" w:rsidP="007A14AD">
      <w:pPr>
        <w:ind w:firstLine="540"/>
        <w:rPr>
          <w:rFonts w:cs="Arial"/>
          <w:color w:val="000000"/>
          <w:szCs w:val="24"/>
        </w:rPr>
      </w:pPr>
    </w:p>
    <w:p w14:paraId="2AD8BDCF" w14:textId="77777777" w:rsidR="00A56CCF" w:rsidRDefault="00B07455" w:rsidP="00E95030">
      <w:pPr>
        <w:ind w:firstLine="540"/>
        <w:rPr>
          <w:rFonts w:cs="Arial"/>
        </w:rPr>
      </w:pPr>
      <w:r>
        <w:t>EH Bildu Nafarroa talde parlamentarioari atxikitako foru parlamentari Oihan Mendo Goñi jaunak 11-25/PES-00243 idatzizko galdera egin zuen, trantsizio justurako eta klima-justiziarako estrategia taxutzeari buruzkoa. Bada, Landa Garapeneko eta Ingurumeneko kontseilaria naizen aldetik, honako hau jakinarazten dut egindako galderei erantzunez:</w:t>
      </w:r>
    </w:p>
    <w:p w14:paraId="57F682CB" w14:textId="77777777" w:rsidR="006B0B97" w:rsidRDefault="006B0B97" w:rsidP="00E95030">
      <w:pPr>
        <w:ind w:firstLine="540"/>
        <w:rPr>
          <w:rFonts w:cs="Arial"/>
        </w:rPr>
      </w:pPr>
    </w:p>
    <w:p w14:paraId="2704825C" w14:textId="77777777" w:rsidR="00631B3D" w:rsidRPr="006B0B97" w:rsidRDefault="00631B3D" w:rsidP="00631B3D">
      <w:pPr>
        <w:ind w:firstLine="540"/>
        <w:rPr>
          <w:rFonts w:cs="Arial"/>
          <w:b/>
        </w:rPr>
      </w:pPr>
      <w:r>
        <w:rPr>
          <w:b/>
        </w:rPr>
        <w:t xml:space="preserve">Idatzi al da Klima Aldaketari eta Trantsizio Energetikoari buruzko Foru Legeak ezartzen duen trantsizio justurako eta klima-justiziarako estrategia? </w:t>
      </w:r>
    </w:p>
    <w:p w14:paraId="7309CA60" w14:textId="77777777" w:rsidR="00631B3D" w:rsidRPr="006B0B97" w:rsidRDefault="00631B3D" w:rsidP="00631B3D">
      <w:pPr>
        <w:ind w:firstLine="540"/>
        <w:rPr>
          <w:rFonts w:cs="Arial"/>
          <w:b/>
        </w:rPr>
      </w:pPr>
    </w:p>
    <w:p w14:paraId="59A5C59A" w14:textId="77777777" w:rsidR="00631B3D" w:rsidRPr="006B0B97" w:rsidRDefault="00631B3D" w:rsidP="00631B3D">
      <w:pPr>
        <w:ind w:firstLine="540"/>
        <w:rPr>
          <w:rFonts w:cs="Arial"/>
          <w:b/>
        </w:rPr>
      </w:pPr>
      <w:r>
        <w:rPr>
          <w:b/>
        </w:rPr>
        <w:t>Erantzuna ezezkoa bada, zer epe aurreikusten dituzte Nafarroako Gobernuak eta haren departamentuek trantsizio justurako eta justizia klimatikorako estrategia idazteko?</w:t>
      </w:r>
    </w:p>
    <w:p w14:paraId="479A812F" w14:textId="77777777" w:rsidR="00631B3D" w:rsidRPr="00631B3D" w:rsidRDefault="00631B3D" w:rsidP="00631B3D">
      <w:pPr>
        <w:ind w:firstLine="540"/>
        <w:rPr>
          <w:rFonts w:cs="Arial"/>
        </w:rPr>
      </w:pPr>
    </w:p>
    <w:p w14:paraId="0D5AB28E" w14:textId="77777777" w:rsidR="00631B3D" w:rsidRPr="00631B3D" w:rsidRDefault="00631B3D" w:rsidP="00631B3D">
      <w:pPr>
        <w:ind w:firstLine="540"/>
        <w:rPr>
          <w:rFonts w:cs="Arial"/>
        </w:rPr>
      </w:pPr>
      <w:r>
        <w:t xml:space="preserve">Aipatu estrategiak trantsizio ekologikoak ukitutako sektore ekonomiko eta sozialen diagnostikoa egitea eta ondorio negatiboak arintzeko neurriak ezartzea duenez helburu, eskudun diren bi departamentuekin jarri gara harremanetan: Industriako eta Enpresen Trantsizio Ekologiko eta Digitalerako Departamentua, eta Eskubide Sozialetako, Ekonomia Sozialeko eta Enpleguko Departamentua. </w:t>
      </w:r>
    </w:p>
    <w:p w14:paraId="6B80BA30" w14:textId="77777777" w:rsidR="00631B3D" w:rsidRPr="00631B3D" w:rsidRDefault="00631B3D" w:rsidP="00631B3D">
      <w:pPr>
        <w:ind w:firstLine="540"/>
        <w:rPr>
          <w:rFonts w:cs="Arial"/>
        </w:rPr>
      </w:pPr>
    </w:p>
    <w:p w14:paraId="4473C404" w14:textId="77777777" w:rsidR="00631B3D" w:rsidRPr="00631B3D" w:rsidRDefault="00631B3D" w:rsidP="00631B3D">
      <w:pPr>
        <w:ind w:firstLine="540"/>
        <w:rPr>
          <w:rFonts w:cs="Arial"/>
        </w:rPr>
      </w:pPr>
      <w:r>
        <w:t>Jasotako erantzunak aintzat hartuta, aipatu estrategia ez da oraindik ere idatzi, eta ez dago zehazterik zer epetan egitea aurreikusten den. Hori bai, estrategia lantzeko lagungarriak izan daitezkeen bi ekintza aipatu daitezke:</w:t>
      </w:r>
    </w:p>
    <w:p w14:paraId="28339B9B" w14:textId="77777777" w:rsidR="00631B3D" w:rsidRPr="00631B3D" w:rsidRDefault="00631B3D" w:rsidP="00631B3D">
      <w:pPr>
        <w:ind w:firstLine="540"/>
        <w:rPr>
          <w:rFonts w:cs="Arial"/>
        </w:rPr>
      </w:pPr>
    </w:p>
    <w:p w14:paraId="5EE54E17" w14:textId="77777777" w:rsidR="00631B3D" w:rsidRDefault="00631B3D" w:rsidP="00631B3D">
      <w:pPr>
        <w:ind w:firstLine="540"/>
        <w:rPr>
          <w:rFonts w:cs="Arial"/>
        </w:rPr>
      </w:pPr>
      <w:r>
        <w:t>-</w:t>
      </w:r>
      <w:r>
        <w:tab/>
        <w:t>2050erako Nafarroako Energia eta Klimako ibilbide orri integratua egitea, trantsizio justurako apartatu espezifiko bat izanen duena.</w:t>
      </w:r>
    </w:p>
    <w:p w14:paraId="1DF1BED2" w14:textId="77777777" w:rsidR="00D97359" w:rsidRDefault="00D97359" w:rsidP="00631B3D">
      <w:pPr>
        <w:ind w:firstLine="540"/>
        <w:rPr>
          <w:rFonts w:cs="Arial"/>
        </w:rPr>
      </w:pPr>
    </w:p>
    <w:p w14:paraId="5E32386F" w14:textId="77777777" w:rsidR="00D97359" w:rsidRDefault="00D97359" w:rsidP="00631B3D">
      <w:pPr>
        <w:ind w:firstLine="540"/>
        <w:rPr>
          <w:rFonts w:cs="Arial"/>
        </w:rPr>
      </w:pPr>
    </w:p>
    <w:p w14:paraId="47ABD25D" w14:textId="77777777" w:rsidR="00D97359" w:rsidRPr="00631B3D" w:rsidRDefault="00D97359" w:rsidP="00631B3D">
      <w:pPr>
        <w:ind w:firstLine="540"/>
        <w:rPr>
          <w:rFonts w:cs="Arial"/>
        </w:rPr>
      </w:pPr>
    </w:p>
    <w:p w14:paraId="25B22409" w14:textId="77777777" w:rsidR="00B211E8" w:rsidRDefault="00631B3D" w:rsidP="00631B3D">
      <w:pPr>
        <w:ind w:firstLine="540"/>
        <w:rPr>
          <w:rFonts w:cs="Arial"/>
        </w:rPr>
      </w:pPr>
      <w:r>
        <w:lastRenderedPageBreak/>
        <w:t>-</w:t>
      </w:r>
      <w:r>
        <w:tab/>
        <w:t>Industria Legearen aurreproiektuko 5. artikuluan aurreikusitako Nafarroako Industriako eta Enpresa Sustapeneko Planean, honako hau jasotzen da planaren helburuen gainean: «Karbono isurpen gabeko industria baterantz trantsizioak izanen dituen ondorio soziolaboralei aurre hartzea eta mekanismoak ezartzea enpleguaren birmoldaketarako, birkualifikaziorako eta banaketarako». Plana Trantsizio Justurako Estrategiarekin koordinatuko da, hau da, Klima-aldaketari eta energia-trantsizioari buruzko martxoaren 22ko 4/2022 Foru Legean aurreikusitako instrumentuarekin, trantsizio ekologikoak enpleguan izan ditzakeen eraginak aurreikusteko neurriak jasoko dituena.</w:t>
      </w:r>
    </w:p>
    <w:p w14:paraId="3E1D367A" w14:textId="77777777" w:rsidR="00BC3A3A" w:rsidRPr="00A56CCF" w:rsidRDefault="00BC3A3A" w:rsidP="00A56CCF">
      <w:pPr>
        <w:ind w:firstLine="540"/>
        <w:rPr>
          <w:rFonts w:cs="Arial"/>
          <w:color w:val="000000"/>
          <w:szCs w:val="24"/>
        </w:rPr>
      </w:pPr>
    </w:p>
    <w:p w14:paraId="01BFAB8F" w14:textId="41CBFFE2" w:rsidR="00934199" w:rsidRPr="00A56CCF" w:rsidRDefault="00CB79FC" w:rsidP="00697CA3">
      <w:pPr>
        <w:jc w:val="center"/>
        <w:rPr>
          <w:rFonts w:cs="Arial"/>
          <w:color w:val="000000"/>
          <w:szCs w:val="24"/>
        </w:rPr>
      </w:pPr>
      <w:r>
        <w:rPr>
          <w:color w:val="000000"/>
        </w:rPr>
        <w:t>Iruñean, 2025eko ekainaren 27an</w:t>
      </w:r>
    </w:p>
    <w:p w14:paraId="31253A22" w14:textId="77777777" w:rsidR="00934199" w:rsidRPr="007106BC" w:rsidRDefault="00934199" w:rsidP="00934199">
      <w:pPr>
        <w:spacing w:line="312" w:lineRule="auto"/>
        <w:ind w:firstLine="709"/>
        <w:jc w:val="center"/>
        <w:rPr>
          <w:rFonts w:cs="Arial"/>
        </w:rPr>
      </w:pPr>
    </w:p>
    <w:p w14:paraId="7C33F222" w14:textId="77777777" w:rsidR="006C093B" w:rsidRDefault="006C093B" w:rsidP="00A56CCF">
      <w:pPr>
        <w:rPr>
          <w:rFonts w:cs="Arial"/>
          <w:szCs w:val="24"/>
        </w:rPr>
      </w:pPr>
    </w:p>
    <w:p w14:paraId="6FDCF3A4" w14:textId="77777777" w:rsidR="009C4934" w:rsidRPr="00BB16C8" w:rsidRDefault="009C4934" w:rsidP="009C4934">
      <w:pPr>
        <w:jc w:val="center"/>
        <w:outlineLvl w:val="0"/>
        <w:rPr>
          <w:rFonts w:cs="Arial"/>
          <w:sz w:val="22"/>
          <w:szCs w:val="22"/>
        </w:rPr>
      </w:pPr>
      <w:r>
        <w:rPr>
          <w:sz w:val="22"/>
        </w:rPr>
        <w:t xml:space="preserve"> </w:t>
      </w:r>
    </w:p>
    <w:p w14:paraId="0A7BCCFF" w14:textId="77777777" w:rsidR="009C4934" w:rsidRPr="00BB16C8" w:rsidRDefault="009C4934" w:rsidP="009C4934">
      <w:pPr>
        <w:jc w:val="center"/>
        <w:outlineLvl w:val="0"/>
        <w:rPr>
          <w:rFonts w:cs="Arial"/>
          <w:sz w:val="22"/>
          <w:szCs w:val="22"/>
        </w:rPr>
      </w:pPr>
      <w:r>
        <w:rPr>
          <w:sz w:val="22"/>
        </w:rPr>
        <w:t>Landa Garapeneko eta Ingurumeneko Kontseilaria</w:t>
      </w:r>
    </w:p>
    <w:p w14:paraId="4A741433" w14:textId="77777777" w:rsidR="0083638A" w:rsidRPr="00305CCF" w:rsidRDefault="0083638A" w:rsidP="0083638A">
      <w:pPr>
        <w:jc w:val="center"/>
        <w:rPr>
          <w:rFonts w:cs="Arial"/>
          <w:sz w:val="22"/>
          <w:szCs w:val="22"/>
        </w:rPr>
      </w:pPr>
    </w:p>
    <w:p w14:paraId="6237BFE4" w14:textId="77777777" w:rsidR="0083638A" w:rsidRPr="00305CCF" w:rsidRDefault="0083638A" w:rsidP="0083638A">
      <w:pPr>
        <w:jc w:val="center"/>
        <w:rPr>
          <w:rFonts w:cs="Arial"/>
          <w:sz w:val="22"/>
          <w:szCs w:val="22"/>
        </w:rPr>
      </w:pPr>
    </w:p>
    <w:p w14:paraId="0FC98617" w14:textId="77777777" w:rsidR="0083638A" w:rsidRPr="00305CCF" w:rsidRDefault="0083638A" w:rsidP="0083638A">
      <w:pPr>
        <w:jc w:val="center"/>
        <w:rPr>
          <w:rFonts w:cs="Arial"/>
          <w:sz w:val="22"/>
          <w:szCs w:val="22"/>
        </w:rPr>
      </w:pPr>
    </w:p>
    <w:p w14:paraId="4129E849" w14:textId="77777777" w:rsidR="0083638A" w:rsidRPr="00305CCF" w:rsidRDefault="0083638A" w:rsidP="0083638A">
      <w:pPr>
        <w:jc w:val="center"/>
        <w:rPr>
          <w:rFonts w:cs="Arial"/>
          <w:sz w:val="22"/>
          <w:szCs w:val="22"/>
        </w:rPr>
      </w:pPr>
    </w:p>
    <w:p w14:paraId="7FC120BE" w14:textId="77777777" w:rsidR="0083638A" w:rsidRPr="00A77EEE" w:rsidRDefault="0083638A" w:rsidP="0083638A">
      <w:pPr>
        <w:ind w:firstLine="540"/>
        <w:jc w:val="center"/>
        <w:rPr>
          <w:rFonts w:cs="Arial"/>
          <w:color w:val="000000"/>
          <w:szCs w:val="24"/>
        </w:rPr>
      </w:pPr>
      <w:r>
        <w:rPr>
          <w:color w:val="000000"/>
        </w:rPr>
        <w:t>José María Aierdi Fernández de Barrena</w:t>
      </w:r>
    </w:p>
    <w:p w14:paraId="2F120C44" w14:textId="77777777" w:rsidR="00D77C2F" w:rsidRPr="00E07A7D" w:rsidRDefault="00D77C2F" w:rsidP="0083638A">
      <w:pPr>
        <w:jc w:val="center"/>
        <w:rPr>
          <w:rFonts w:cs="Arial"/>
          <w:color w:val="000000"/>
          <w:szCs w:val="24"/>
        </w:rPr>
      </w:pPr>
    </w:p>
    <w:sectPr w:rsidR="00D77C2F" w:rsidRPr="00E07A7D" w:rsidSect="00211860">
      <w:headerReference w:type="default" r:id="rId7"/>
      <w:footerReference w:type="even" r:id="rId8"/>
      <w:footerReference w:type="default" r:id="rId9"/>
      <w:pgSz w:w="11906" w:h="16838" w:code="9"/>
      <w:pgMar w:top="2374"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F4A01" w14:textId="77777777" w:rsidR="00E77E52" w:rsidRDefault="00E77E52" w:rsidP="00381BB8">
      <w:pPr>
        <w:pStyle w:val="Encabezado"/>
      </w:pPr>
      <w:r>
        <w:separator/>
      </w:r>
    </w:p>
  </w:endnote>
  <w:endnote w:type="continuationSeparator" w:id="0">
    <w:p w14:paraId="3837A0B9" w14:textId="77777777" w:rsidR="00E77E52" w:rsidRDefault="00E77E52"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5BA6"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rPr>
      <w:t>2</w:t>
    </w:r>
    <w:r w:rsidRPr="00514ED6">
      <w:rPr>
        <w:rStyle w:val="Nmerodepgina"/>
        <w:rFonts w:cs="Arial"/>
      </w:rPr>
      <w:fldChar w:fldCharType="end"/>
    </w:r>
    <w:r>
      <w:rPr>
        <w:rStyle w:val="Nmerodepgina"/>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E77E52">
      <w:rPr>
        <w:rStyle w:val="Nmerodepgina"/>
        <w:rFonts w:cs="Arial"/>
      </w:rPr>
      <w:t>1</w:t>
    </w:r>
    <w:r w:rsidRPr="00514ED6">
      <w:rPr>
        <w:rStyle w:val="Nmerodepgina"/>
        <w:rFonts w:cs="Arial"/>
      </w:rPr>
      <w:fldChar w:fldCharType="end"/>
    </w:r>
    <w:r>
      <w:rPr>
        <w:rStyle w:val="Nmerodepgina"/>
      </w:rPr>
      <w:t xml:space="preserve"> </w:t>
    </w:r>
    <w:r>
      <w:rPr>
        <w:rStyle w:val="Nmerodepgina"/>
      </w:rPr>
      <w:tab/>
    </w:r>
    <w:r>
      <w:rPr>
        <w:rStyle w:val="Nmerodepgina"/>
      </w:rPr>
      <w:tab/>
      <w:t>Q19/</w:t>
    </w:r>
    <w:r>
      <w:rPr>
        <w:rStyle w:val="Nmerodepgina"/>
        <w:highlight w:val="yellow"/>
      </w:rPr>
      <w:t>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92BE" w14:textId="77777777" w:rsidR="00167769" w:rsidRPr="003158C1" w:rsidRDefault="00167769" w:rsidP="00167769">
    <w:pPr>
      <w:pBdr>
        <w:bottom w:val="single" w:sz="12" w:space="1" w:color="auto"/>
      </w:pBdr>
      <w:spacing w:line="240" w:lineRule="auto"/>
      <w:rPr>
        <w:rFonts w:cs="Arial"/>
        <w:color w:val="000000"/>
        <w:sz w:val="22"/>
        <w:szCs w:val="22"/>
      </w:rPr>
    </w:pPr>
    <w:r>
      <w:rPr>
        <w:color w:val="000000"/>
        <w:sz w:val="22"/>
      </w:rPr>
      <w:t>NAFARROAKO PARLAMENTUKO LEHENDAKARIA</w:t>
    </w:r>
  </w:p>
  <w:p w14:paraId="72C24508" w14:textId="77777777" w:rsidR="002B729A" w:rsidRPr="003158C1" w:rsidRDefault="00B07455" w:rsidP="003158C1">
    <w:pPr>
      <w:pStyle w:val="Piedepgina"/>
      <w:spacing w:before="120"/>
      <w:rPr>
        <w:rFonts w:cs="Arial"/>
        <w:sz w:val="22"/>
        <w:szCs w:val="22"/>
      </w:rPr>
    </w:pPr>
    <w:r>
      <w:rPr>
        <w:rStyle w:val="Nmerodepgina"/>
        <w:sz w:val="22"/>
      </w:rPr>
      <w:t>11-25/PES-00243</w:t>
    </w:r>
    <w:r>
      <w:rPr>
        <w:rStyle w:val="Nmerodepgina"/>
        <w:sz w:val="22"/>
      </w:rPr>
      <w:tab/>
    </w:r>
    <w:r>
      <w:rPr>
        <w:rStyle w:val="Nmerodepgina"/>
        <w:sz w:val="22"/>
      </w:rPr>
      <w:tab/>
    </w:r>
    <w:r w:rsidR="00167769" w:rsidRPr="003158C1">
      <w:rPr>
        <w:rStyle w:val="Nmerodepgina"/>
        <w:rFonts w:cs="Arial"/>
        <w:sz w:val="22"/>
      </w:rPr>
      <w:fldChar w:fldCharType="begin"/>
    </w:r>
    <w:r w:rsidR="00167769" w:rsidRPr="003158C1">
      <w:rPr>
        <w:rStyle w:val="Nmerodepgina"/>
        <w:rFonts w:cs="Arial"/>
        <w:sz w:val="22"/>
      </w:rPr>
      <w:instrText xml:space="preserve"> PAGE </w:instrText>
    </w:r>
    <w:r w:rsidR="00167769" w:rsidRPr="003158C1">
      <w:rPr>
        <w:rStyle w:val="Nmerodepgina"/>
        <w:rFonts w:cs="Arial"/>
        <w:sz w:val="22"/>
      </w:rPr>
      <w:fldChar w:fldCharType="separate"/>
    </w:r>
    <w:r w:rsidR="00BA5761">
      <w:rPr>
        <w:rStyle w:val="Nmerodepgina"/>
        <w:rFonts w:cs="Arial"/>
        <w:sz w:val="22"/>
      </w:rPr>
      <w:t>2</w:t>
    </w:r>
    <w:r w:rsidR="00167769" w:rsidRPr="003158C1">
      <w:rPr>
        <w:rStyle w:val="Nmerodepgina"/>
        <w:rFonts w:cs="Arial"/>
        <w:sz w:val="22"/>
      </w:rPr>
      <w:fldChar w:fldCharType="end"/>
    </w:r>
    <w:r>
      <w:rPr>
        <w:rStyle w:val="Nmerodepgina"/>
        <w:sz w:val="22"/>
      </w:rPr>
      <w:t>/</w:t>
    </w:r>
    <w:r w:rsidR="00167769" w:rsidRPr="003158C1">
      <w:rPr>
        <w:rStyle w:val="Nmerodepgina"/>
        <w:rFonts w:cs="Arial"/>
        <w:sz w:val="22"/>
      </w:rPr>
      <w:fldChar w:fldCharType="begin"/>
    </w:r>
    <w:r w:rsidR="00167769" w:rsidRPr="003158C1">
      <w:rPr>
        <w:rStyle w:val="Nmerodepgina"/>
        <w:rFonts w:cs="Arial"/>
        <w:sz w:val="22"/>
      </w:rPr>
      <w:instrText xml:space="preserve"> NUMPAGES </w:instrText>
    </w:r>
    <w:r w:rsidR="00167769" w:rsidRPr="003158C1">
      <w:rPr>
        <w:rStyle w:val="Nmerodepgina"/>
        <w:rFonts w:cs="Arial"/>
        <w:sz w:val="22"/>
      </w:rPr>
      <w:fldChar w:fldCharType="separate"/>
    </w:r>
    <w:r w:rsidR="00BA5761">
      <w:rPr>
        <w:rStyle w:val="Nmerodepgina"/>
        <w:rFonts w:cs="Arial"/>
        <w:sz w:val="22"/>
      </w:rPr>
      <w:t>2</w:t>
    </w:r>
    <w:r w:rsidR="00167769" w:rsidRPr="003158C1">
      <w:rPr>
        <w:rStyle w:val="Nmerodepgina"/>
        <w:rFonts w:cs="Arial"/>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05E13" w14:textId="77777777" w:rsidR="00E77E52" w:rsidRDefault="00E77E52" w:rsidP="00381BB8">
      <w:pPr>
        <w:pStyle w:val="Encabezado"/>
      </w:pPr>
      <w:r>
        <w:separator/>
      </w:r>
    </w:p>
  </w:footnote>
  <w:footnote w:type="continuationSeparator" w:id="0">
    <w:p w14:paraId="1668529F" w14:textId="77777777" w:rsidR="00E77E52" w:rsidRDefault="00E77E52"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62484" w14:textId="77777777" w:rsidR="00797AF9" w:rsidRDefault="00FB2779" w:rsidP="00211860">
    <w:pPr>
      <w:pStyle w:val="Encabezado"/>
      <w:tabs>
        <w:tab w:val="clear" w:pos="8504"/>
        <w:tab w:val="right" w:pos="9072"/>
      </w:tabs>
      <w:ind w:right="-568"/>
    </w:pPr>
    <w:r>
      <w:rPr>
        <w:noProof/>
      </w:rPr>
      <w:drawing>
        <wp:anchor distT="0" distB="0" distL="114300" distR="114300" simplePos="0" relativeHeight="251657728" behindDoc="1" locked="0" layoutInCell="1" allowOverlap="1" wp14:anchorId="39E11370" wp14:editId="0AB382C9">
          <wp:simplePos x="0" y="0"/>
          <wp:positionH relativeFrom="page">
            <wp:posOffset>0</wp:posOffset>
          </wp:positionH>
          <wp:positionV relativeFrom="page">
            <wp:posOffset>0</wp:posOffset>
          </wp:positionV>
          <wp:extent cx="7541895" cy="1792605"/>
          <wp:effectExtent l="0" t="0" r="0" b="0"/>
          <wp:wrapNone/>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17926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7"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0" w15:restartNumberingAfterBreak="0">
    <w:nsid w:val="4F4E1FA5"/>
    <w:multiLevelType w:val="hybridMultilevel"/>
    <w:tmpl w:val="48CABC10"/>
    <w:lvl w:ilvl="0" w:tplc="6CD0D0C8">
      <w:start w:val="11"/>
      <w:numFmt w:val="bullet"/>
      <w:lvlText w:val="-"/>
      <w:lvlJc w:val="left"/>
      <w:pPr>
        <w:ind w:left="1068" w:hanging="360"/>
      </w:pPr>
      <w:rPr>
        <w:rFonts w:ascii="Verdana" w:eastAsia="Times New Roman" w:hAnsi="Verdana"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515622FC"/>
    <w:multiLevelType w:val="hybridMultilevel"/>
    <w:tmpl w:val="C30C578A"/>
    <w:lvl w:ilvl="0" w:tplc="A1E699EE">
      <w:numFmt w:val="bullet"/>
      <w:lvlText w:val="-"/>
      <w:lvlJc w:val="left"/>
      <w:pPr>
        <w:ind w:left="900" w:hanging="360"/>
      </w:pPr>
      <w:rPr>
        <w:rFonts w:ascii="Arial" w:eastAsia="Times New Roman" w:hAnsi="Arial" w:cs="Aria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13"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1250849741">
    <w:abstractNumId w:val="7"/>
  </w:num>
  <w:num w:numId="2" w16cid:durableId="1576546591">
    <w:abstractNumId w:val="3"/>
  </w:num>
  <w:num w:numId="3" w16cid:durableId="1448431304">
    <w:abstractNumId w:val="8"/>
  </w:num>
  <w:num w:numId="4" w16cid:durableId="1927181227">
    <w:abstractNumId w:val="16"/>
  </w:num>
  <w:num w:numId="5" w16cid:durableId="1422221790">
    <w:abstractNumId w:val="1"/>
  </w:num>
  <w:num w:numId="6" w16cid:durableId="1193835442">
    <w:abstractNumId w:val="15"/>
  </w:num>
  <w:num w:numId="7" w16cid:durableId="241372732">
    <w:abstractNumId w:val="5"/>
  </w:num>
  <w:num w:numId="8" w16cid:durableId="1641108482">
    <w:abstractNumId w:val="4"/>
  </w:num>
  <w:num w:numId="9" w16cid:durableId="174661877">
    <w:abstractNumId w:val="6"/>
  </w:num>
  <w:num w:numId="10" w16cid:durableId="31360345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737304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2618006">
    <w:abstractNumId w:val="17"/>
  </w:num>
  <w:num w:numId="13" w16cid:durableId="537864776">
    <w:abstractNumId w:val="2"/>
  </w:num>
  <w:num w:numId="14" w16cid:durableId="270668799">
    <w:abstractNumId w:val="14"/>
  </w:num>
  <w:num w:numId="15" w16cid:durableId="1046484808">
    <w:abstractNumId w:val="0"/>
  </w:num>
  <w:num w:numId="16" w16cid:durableId="844786522">
    <w:abstractNumId w:val="9"/>
  </w:num>
  <w:num w:numId="17" w16cid:durableId="882715157">
    <w:abstractNumId w:val="13"/>
  </w:num>
  <w:num w:numId="18" w16cid:durableId="1289051229">
    <w:abstractNumId w:val="10"/>
  </w:num>
  <w:num w:numId="19" w16cid:durableId="11734544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E52"/>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058C"/>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2E8E"/>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4D40"/>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458"/>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0B2C"/>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64F"/>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1B3D"/>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1194"/>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0B97"/>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0FC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16C"/>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60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61A"/>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11E8"/>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61"/>
    <w:rsid w:val="00BA57EA"/>
    <w:rsid w:val="00BA6238"/>
    <w:rsid w:val="00BA7EA4"/>
    <w:rsid w:val="00BB00FF"/>
    <w:rsid w:val="00BB04D2"/>
    <w:rsid w:val="00BB0C74"/>
    <w:rsid w:val="00BB16C8"/>
    <w:rsid w:val="00BB25E2"/>
    <w:rsid w:val="00BB25F1"/>
    <w:rsid w:val="00BB28EB"/>
    <w:rsid w:val="00BB3524"/>
    <w:rsid w:val="00BB3C8A"/>
    <w:rsid w:val="00BB3F92"/>
    <w:rsid w:val="00BB4BA7"/>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3C20"/>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523"/>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35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77E52"/>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030"/>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289C"/>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1CD"/>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2779"/>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34BF8B6"/>
  <w15:chartTrackingRefBased/>
  <w15:docId w15:val="{AAF95DEE-1839-49A2-BB9F-081D1304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style>
  <w:style w:type="paragraph" w:styleId="Sangra2detindependiente">
    <w:name w:val="Body Text Indent 2"/>
    <w:basedOn w:val="Normal"/>
    <w:rsid w:val="00085EEC"/>
    <w:pPr>
      <w:spacing w:line="360" w:lineRule="atLeast"/>
      <w:ind w:left="426" w:hanging="426"/>
    </w:p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856458772">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63</TotalTime>
  <Pages>2</Pages>
  <Words>250</Words>
  <Characters>1952</Characters>
  <Application>Microsoft Office Word</Application>
  <DocSecurity>0</DocSecurity>
  <Lines>122</Lines>
  <Paragraphs>129</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Martin Cestao, Nerea</cp:lastModifiedBy>
  <cp:revision>16</cp:revision>
  <cp:lastPrinted>2018-10-15T10:28:00Z</cp:lastPrinted>
  <dcterms:created xsi:type="dcterms:W3CDTF">2025-03-20T08:11:00Z</dcterms:created>
  <dcterms:modified xsi:type="dcterms:W3CDTF">2025-09-05T10:12:00Z</dcterms:modified>
</cp:coreProperties>
</file>