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2A0A" w14:textId="3F681B6C" w:rsidR="0019076F" w:rsidRPr="00076FBA" w:rsidRDefault="00076FBA" w:rsidP="00076FBA">
      <w:pPr>
        <w:spacing w:after="120" w:line="276" w:lineRule="auto"/>
        <w:jc w:val="both"/>
        <w:rPr>
          <w:rFonts w:cstheme="minorHAnsi"/>
        </w:rPr>
      </w:pPr>
      <w:r>
        <w:t>25PRO-18</w:t>
      </w:r>
    </w:p>
    <w:p w14:paraId="3B477776" w14:textId="77777777" w:rsidR="00076FBA" w:rsidRPr="00076FBA" w:rsidRDefault="00076FBA" w:rsidP="00076FBA">
      <w:pPr>
        <w:autoSpaceDE w:val="0"/>
        <w:autoSpaceDN w:val="0"/>
        <w:adjustRightInd w:val="0"/>
        <w:spacing w:after="120" w:line="276" w:lineRule="auto"/>
        <w:jc w:val="both"/>
        <w:rPr>
          <w:rFonts w:cstheme="minorHAnsi"/>
          <w:b/>
          <w:bCs/>
        </w:rPr>
      </w:pPr>
      <w:r>
        <w:rPr>
          <w:b/>
        </w:rPr>
        <w:t>ZIOEN AZALPENA</w:t>
      </w:r>
    </w:p>
    <w:p w14:paraId="61D24C66" w14:textId="59D3E355" w:rsidR="00076FBA" w:rsidRPr="00076FBA" w:rsidRDefault="00076FBA" w:rsidP="00076FBA">
      <w:pPr>
        <w:autoSpaceDE w:val="0"/>
        <w:autoSpaceDN w:val="0"/>
        <w:adjustRightInd w:val="0"/>
        <w:spacing w:after="120" w:line="276" w:lineRule="auto"/>
        <w:jc w:val="both"/>
        <w:rPr>
          <w:rFonts w:cstheme="minorHAnsi"/>
        </w:rPr>
      </w:pPr>
      <w:r>
        <w:t>Klima-aldaketaren aurkako borroka lehentasun estrategiko globala da, sektore guztietan araugintzazko neurri eraginkorrak eta egiturazkoak hartzera behartzen duena. Nekazaritzak, abeltzaintzak eta baso-sistemek, hala karbono-igorle nola balizko karbono-hustubide ere badirenez gero, giltzarrizko zeregina betetzen dute BEG-berotegi-efektuko gasen igorpenaren murriztapenean eta klimatikoki neutroa den ekonomia bateranzko igarobidean.</w:t>
      </w:r>
    </w:p>
    <w:p w14:paraId="4E615B1B" w14:textId="6A65A930" w:rsidR="00076FBA" w:rsidRPr="00076FBA" w:rsidRDefault="00076FBA" w:rsidP="00076FBA">
      <w:pPr>
        <w:autoSpaceDE w:val="0"/>
        <w:autoSpaceDN w:val="0"/>
        <w:adjustRightInd w:val="0"/>
        <w:spacing w:after="120" w:line="276" w:lineRule="auto"/>
        <w:jc w:val="both"/>
        <w:rPr>
          <w:rFonts w:cstheme="minorHAnsi"/>
        </w:rPr>
      </w:pPr>
      <w:r>
        <w:t>Testuinguru horretan, karbono-kredituen ziurtapena eta komertzializazioa araugintzazko tresna berritzaile gisa agertzen da nekazaritza- eta baso-sektoreetan jardunbide jasangarri eta biziberritzaileetarako pizgarriak emateko, karbono-absortzioa sustatzeko eta klima-arloko finantziazioa landa-ingurunerantz bideratzeko.</w:t>
      </w:r>
    </w:p>
    <w:p w14:paraId="3F0B3C8A" w14:textId="05ACAC91" w:rsidR="00076FBA" w:rsidRPr="00076FBA" w:rsidRDefault="00076FBA" w:rsidP="00076FBA">
      <w:pPr>
        <w:autoSpaceDE w:val="0"/>
        <w:autoSpaceDN w:val="0"/>
        <w:adjustRightInd w:val="0"/>
        <w:spacing w:after="120" w:line="276" w:lineRule="auto"/>
        <w:jc w:val="both"/>
        <w:rPr>
          <w:rFonts w:cstheme="minorHAnsi"/>
        </w:rPr>
      </w:pPr>
      <w:r>
        <w:t>Foru lege honek xede du zuzenbidezko esparru bat ezartzea, zeinak bermatuko baititu ingurumenaren babesa, kredituen trazabilitatea, merkatuko gardentasuna eta Europako, estatuko eta foru-erkidegoko arauekiko koherentzia. Bereziki, hauekikoa:</w:t>
      </w:r>
    </w:p>
    <w:p w14:paraId="7DFB9AF9" w14:textId="5712E4DB"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2018/841 (EB) Erregelamendua, </w:t>
      </w:r>
      <w:r>
        <w:t>lurraren erabilerari, lur-erabileraren aldaketari eta basogintzari buruzkoa,</w:t>
      </w:r>
    </w:p>
    <w:p w14:paraId="38753B78" w14:textId="77777777" w:rsidR="00076FBA" w:rsidRPr="00076FBA" w:rsidRDefault="00076FBA" w:rsidP="00076FBA">
      <w:pPr>
        <w:autoSpaceDE w:val="0"/>
        <w:autoSpaceDN w:val="0"/>
        <w:adjustRightInd w:val="0"/>
        <w:spacing w:after="120" w:line="276" w:lineRule="auto"/>
        <w:jc w:val="both"/>
        <w:rPr>
          <w:rFonts w:cstheme="minorHAnsi"/>
        </w:rPr>
      </w:pPr>
      <w:r>
        <w:t>•</w:t>
      </w:r>
      <w:r>
        <w:rPr>
          <w:b/>
        </w:rPr>
        <w:t xml:space="preserve"> 2018/842 (EB) Erregelamendua, esfortzuaren banaketari buruzkoa</w:t>
      </w:r>
      <w:r>
        <w:t>,</w:t>
      </w:r>
    </w:p>
    <w:p w14:paraId="6ACED2EE" w14:textId="2F523150" w:rsidR="00076FBA" w:rsidRPr="00076FBA" w:rsidRDefault="00076FBA" w:rsidP="00076FBA">
      <w:pPr>
        <w:autoSpaceDE w:val="0"/>
        <w:autoSpaceDN w:val="0"/>
        <w:adjustRightInd w:val="0"/>
        <w:spacing w:after="120" w:line="276" w:lineRule="auto"/>
        <w:jc w:val="both"/>
        <w:rPr>
          <w:rFonts w:cstheme="minorHAnsi"/>
        </w:rPr>
      </w:pPr>
      <w:r>
        <w:t>• 2024/... (EB) Europako Erregelamendua, karbono-absortzioen ziurtapenari buruzkoa.</w:t>
      </w:r>
    </w:p>
    <w:p w14:paraId="1B7EE754" w14:textId="77777777" w:rsidR="00076FBA" w:rsidRPr="00076FBA" w:rsidRDefault="00076FBA" w:rsidP="00076FBA">
      <w:pPr>
        <w:autoSpaceDE w:val="0"/>
        <w:autoSpaceDN w:val="0"/>
        <w:adjustRightInd w:val="0"/>
        <w:spacing w:after="120" w:line="276" w:lineRule="auto"/>
        <w:jc w:val="both"/>
        <w:rPr>
          <w:rFonts w:cstheme="minorHAnsi"/>
        </w:rPr>
      </w:pPr>
      <w:r>
        <w:t xml:space="preserve">• </w:t>
      </w:r>
      <w:r>
        <w:rPr>
          <w:b/>
        </w:rPr>
        <w:t>7/2021 Legea, Klima-aldaketari eta energia-trantsizioari buruzkoa,</w:t>
      </w:r>
      <w:r>
        <w:t xml:space="preserve"> eta</w:t>
      </w:r>
    </w:p>
    <w:p w14:paraId="17F0CDBC" w14:textId="05D17C10" w:rsidR="00076FBA" w:rsidRPr="00076FBA" w:rsidRDefault="00076FBA" w:rsidP="00076FBA">
      <w:pPr>
        <w:spacing w:after="120" w:line="276" w:lineRule="auto"/>
        <w:jc w:val="both"/>
        <w:rPr>
          <w:rFonts w:cstheme="minorHAnsi"/>
        </w:rPr>
      </w:pPr>
      <w:r>
        <w:t xml:space="preserve">• </w:t>
      </w:r>
      <w:r>
        <w:rPr>
          <w:b/>
        </w:rPr>
        <w:t>4/2022 Foru Legea, Klima-aldaketari eta energia-trantsizioari buruzkoa</w:t>
      </w:r>
      <w:r>
        <w:t>.</w:t>
      </w:r>
    </w:p>
    <w:p w14:paraId="07AAD71D" w14:textId="28A9C71F" w:rsidR="00076FBA" w:rsidRPr="00076FBA" w:rsidRDefault="00076FBA" w:rsidP="00076FBA">
      <w:pPr>
        <w:autoSpaceDE w:val="0"/>
        <w:autoSpaceDN w:val="0"/>
        <w:adjustRightInd w:val="0"/>
        <w:spacing w:after="120" w:line="276" w:lineRule="auto"/>
        <w:jc w:val="both"/>
        <w:rPr>
          <w:rFonts w:cstheme="minorHAnsi"/>
        </w:rPr>
      </w:pPr>
      <w:r>
        <w:t>Nafarroako Foru Komunitateak, nekazaritza, baso eta abeltzaintza alorretan duen oparotasunaren poderioz, potentzial handia du igorpenak atzitu, murriztu eta konpentsatzeko proiektuen alorreko europar erreferente bihurtu eta, horrekin bat, garapen ekonomikoa, berrikuntza eta lurralde-kohesioa indartzeko.</w:t>
      </w:r>
    </w:p>
    <w:p w14:paraId="400B18B3" w14:textId="77777777" w:rsidR="00076FBA" w:rsidRPr="00076FBA" w:rsidRDefault="00076FBA" w:rsidP="00076FBA">
      <w:pPr>
        <w:autoSpaceDE w:val="0"/>
        <w:autoSpaceDN w:val="0"/>
        <w:adjustRightInd w:val="0"/>
        <w:spacing w:after="120" w:line="276" w:lineRule="auto"/>
        <w:jc w:val="both"/>
        <w:rPr>
          <w:rFonts w:cstheme="minorHAnsi"/>
          <w:b/>
          <w:bCs/>
        </w:rPr>
      </w:pPr>
      <w:r>
        <w:rPr>
          <w:b/>
        </w:rPr>
        <w:t>I. TITULUA: XEDAPEN OROKORRAK</w:t>
      </w:r>
    </w:p>
    <w:p w14:paraId="04BF6878" w14:textId="77777777" w:rsidR="00076FBA" w:rsidRPr="00076FBA" w:rsidRDefault="00076FBA" w:rsidP="00076FBA">
      <w:pPr>
        <w:autoSpaceDE w:val="0"/>
        <w:autoSpaceDN w:val="0"/>
        <w:adjustRightInd w:val="0"/>
        <w:spacing w:after="120" w:line="276" w:lineRule="auto"/>
        <w:jc w:val="both"/>
        <w:rPr>
          <w:rFonts w:cstheme="minorHAnsi"/>
          <w:b/>
          <w:bCs/>
        </w:rPr>
      </w:pPr>
      <w:r>
        <w:rPr>
          <w:b/>
        </w:rPr>
        <w:t>1. artikulua. Xedea</w:t>
      </w:r>
    </w:p>
    <w:p w14:paraId="50AFEA09" w14:textId="5D9A0DB0" w:rsidR="00076FBA" w:rsidRPr="00076FBA" w:rsidRDefault="00076FBA" w:rsidP="00076FBA">
      <w:pPr>
        <w:autoSpaceDE w:val="0"/>
        <w:autoSpaceDN w:val="0"/>
        <w:adjustRightInd w:val="0"/>
        <w:spacing w:after="120" w:line="276" w:lineRule="auto"/>
        <w:jc w:val="both"/>
        <w:rPr>
          <w:rFonts w:cstheme="minorHAnsi"/>
        </w:rPr>
      </w:pPr>
      <w:r>
        <w:t>Foru lege honek ezartzen du Nafarroako nekazaritza-, abeltzaintza- eta baso-sektoreetan karbono-kredituak sortu, egiaztatu, erregistratu, ziurtatu, komertzializatu eta haietarako zerga-pizgarriak emateari buruzko araubidea, asmotan harturik klima-aldaketa samurtzeko ekarpena egitea, lurralde-jasangarritasuna sustatzea eta borondatezko eta arauturiko merkatuetarako sarbidea erraztea.</w:t>
      </w:r>
    </w:p>
    <w:p w14:paraId="07B24958" w14:textId="77777777" w:rsidR="00076FBA" w:rsidRPr="00076FBA" w:rsidRDefault="00076FBA" w:rsidP="00076FBA">
      <w:pPr>
        <w:autoSpaceDE w:val="0"/>
        <w:autoSpaceDN w:val="0"/>
        <w:adjustRightInd w:val="0"/>
        <w:spacing w:after="120" w:line="276" w:lineRule="auto"/>
        <w:jc w:val="both"/>
        <w:rPr>
          <w:rFonts w:cstheme="minorHAnsi"/>
          <w:b/>
          <w:bCs/>
        </w:rPr>
      </w:pPr>
      <w:r>
        <w:rPr>
          <w:b/>
        </w:rPr>
        <w:t>2. artikulua. Aplikazio-eremua</w:t>
      </w:r>
    </w:p>
    <w:p w14:paraId="6D400068" w14:textId="63D41A94" w:rsidR="00076FBA" w:rsidRPr="00076FBA" w:rsidRDefault="00076FBA" w:rsidP="00076FBA">
      <w:pPr>
        <w:autoSpaceDE w:val="0"/>
        <w:autoSpaceDN w:val="0"/>
        <w:adjustRightInd w:val="0"/>
        <w:spacing w:after="120" w:line="276" w:lineRule="auto"/>
        <w:jc w:val="both"/>
        <w:rPr>
          <w:rFonts w:cstheme="minorHAnsi"/>
        </w:rPr>
      </w:pPr>
      <w:r>
        <w:t>Nafarroaren lurralde-esparruan eginak diren jarduera guztiei aplikatuko zaie, baldin zerikusia badute arau honetako eta bere erregelamendu-garapeneko betekizunak betetzen dituzten nekazaritza-, abeltzaintza- eta baso-proiektuekiko lotura duten karbono-kredituak sortzearekin, egiaztatzearekin, ziurtatzearekin, erregistratzearekin eta salerostearekin.</w:t>
      </w:r>
    </w:p>
    <w:p w14:paraId="4B5C759D" w14:textId="77777777" w:rsidR="00076FBA" w:rsidRPr="00076FBA" w:rsidRDefault="00076FBA" w:rsidP="00076FBA">
      <w:pPr>
        <w:autoSpaceDE w:val="0"/>
        <w:autoSpaceDN w:val="0"/>
        <w:adjustRightInd w:val="0"/>
        <w:spacing w:after="120" w:line="276" w:lineRule="auto"/>
        <w:jc w:val="both"/>
        <w:rPr>
          <w:rFonts w:cstheme="minorHAnsi"/>
          <w:b/>
          <w:bCs/>
        </w:rPr>
      </w:pPr>
      <w:r>
        <w:rPr>
          <w:b/>
        </w:rPr>
        <w:t>3. artikulua. Definizioak.</w:t>
      </w:r>
    </w:p>
    <w:p w14:paraId="3518EE2A" w14:textId="77777777" w:rsidR="00076FBA" w:rsidRPr="00076FBA" w:rsidRDefault="00076FBA" w:rsidP="00076FBA">
      <w:pPr>
        <w:autoSpaceDE w:val="0"/>
        <w:autoSpaceDN w:val="0"/>
        <w:adjustRightInd w:val="0"/>
        <w:spacing w:after="120" w:line="276" w:lineRule="auto"/>
        <w:jc w:val="both"/>
        <w:rPr>
          <w:rFonts w:cstheme="minorHAnsi"/>
        </w:rPr>
      </w:pPr>
      <w:r>
        <w:t>Foru lege honen ondorioetarako, honela ulertuko dira termino hauek:</w:t>
      </w:r>
    </w:p>
    <w:p w14:paraId="18A4063B" w14:textId="59C20B26" w:rsidR="00076FBA" w:rsidRPr="00076FBA" w:rsidRDefault="00076FBA" w:rsidP="00076FBA">
      <w:pPr>
        <w:autoSpaceDE w:val="0"/>
        <w:autoSpaceDN w:val="0"/>
        <w:adjustRightInd w:val="0"/>
        <w:spacing w:after="120" w:line="276" w:lineRule="auto"/>
        <w:jc w:val="both"/>
        <w:rPr>
          <w:rFonts w:cstheme="minorHAnsi"/>
        </w:rPr>
      </w:pPr>
      <w:r>
        <w:lastRenderedPageBreak/>
        <w:t xml:space="preserve">• </w:t>
      </w:r>
      <w:r>
        <w:rPr>
          <w:b/>
        </w:rPr>
        <w:t xml:space="preserve">Karbono-kreditua: </w:t>
      </w:r>
      <w:r>
        <w:t>egiaztaturiko karbono-dioxido tona baliokide bat adinako murrizketa, saiheste edo atzitzearen ziurtapena.</w:t>
      </w:r>
    </w:p>
    <w:p w14:paraId="45723074" w14:textId="4F175733"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Sortzailea: </w:t>
      </w:r>
      <w:r>
        <w:t>Pertsona fisiko edo juridikoa –ureztatzaile-elkarteak, kooperatibak eta toki-entitateak barne harturik–, kreditu-sortzaile diren samurtze-jokamoldeak aplikatzen dituena.</w:t>
      </w:r>
    </w:p>
    <w:p w14:paraId="13A90925" w14:textId="3BEB6482"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Egiaztapena: </w:t>
      </w:r>
      <w:r>
        <w:t>Proiektu baten klima-eragingarritasun garbiaren kanpo-ebaluazio independente eta akreditatua.</w:t>
      </w:r>
    </w:p>
    <w:p w14:paraId="1C2494B9" w14:textId="31E1108F"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Erregistratzea: </w:t>
      </w:r>
      <w:r>
        <w:t>Sistema ofizial eta elkarroperagarria, trazabilitate bakuna bermatzen duena, kontabilitate bikoitza eragotzirik.</w:t>
      </w:r>
    </w:p>
    <w:p w14:paraId="7EDD5B1D" w14:textId="4C169B70"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Gehigarritasuna: </w:t>
      </w:r>
      <w:r>
        <w:t>Proiekturik ezean kasuko murrizketa/atzitzea gertatuko ez litzatekeela ziurtatzen duen bermea.</w:t>
      </w:r>
    </w:p>
    <w:p w14:paraId="6FD2375E" w14:textId="703641A8"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Iraunkortasuna: </w:t>
      </w:r>
      <w:r>
        <w:t>Klima-onuraren gutxieneko iraunaldi bermatua (20 urte, baso-proiektuen kasuan, eta 10 urte, nekazaritzako eta abeltzaintzako proiektuenean).</w:t>
      </w:r>
    </w:p>
    <w:p w14:paraId="0050A1DC" w14:textId="4A43B107"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Isuriak: </w:t>
      </w:r>
      <w:r>
        <w:t>Proiektuaren esparrutik kanpokoak diren zeharkako igorpenak, onuren parte bat ezerezten dutenak.</w:t>
      </w:r>
    </w:p>
    <w:p w14:paraId="69210402" w14:textId="7E5671BF" w:rsidR="00076FBA" w:rsidRPr="00076FBA" w:rsidRDefault="00076FBA" w:rsidP="00076FBA">
      <w:pPr>
        <w:spacing w:after="120" w:line="276" w:lineRule="auto"/>
        <w:jc w:val="both"/>
        <w:rPr>
          <w:rFonts w:cstheme="minorHAnsi"/>
        </w:rPr>
      </w:pPr>
      <w:r>
        <w:t xml:space="preserve">• </w:t>
      </w:r>
      <w:r>
        <w:rPr>
          <w:b/>
        </w:rPr>
        <w:t xml:space="preserve">Ziurtatze-kooperatiba: </w:t>
      </w:r>
      <w:r>
        <w:t>Irabazi-asmorik gabeko entitatea, ekoizleak biltzen dituena eta egiaztapenerako nahiz salmenta taldekaturako egitura tekniko amankomun gisa jarduten duena.</w:t>
      </w:r>
    </w:p>
    <w:p w14:paraId="113F8FE6" w14:textId="77777777" w:rsidR="00076FBA" w:rsidRPr="00076FBA" w:rsidRDefault="00076FBA" w:rsidP="00076FBA">
      <w:pPr>
        <w:autoSpaceDE w:val="0"/>
        <w:autoSpaceDN w:val="0"/>
        <w:adjustRightInd w:val="0"/>
        <w:spacing w:after="120" w:line="276" w:lineRule="auto"/>
        <w:jc w:val="both"/>
        <w:rPr>
          <w:rFonts w:cstheme="minorHAnsi"/>
          <w:b/>
          <w:bCs/>
        </w:rPr>
      </w:pPr>
      <w:r>
        <w:rPr>
          <w:b/>
        </w:rPr>
        <w:t>II. TITULUA: SORKUNTZA ETA EGIAZTAPENA</w:t>
      </w:r>
    </w:p>
    <w:p w14:paraId="4E80194F" w14:textId="77777777" w:rsidR="00076FBA" w:rsidRPr="00076FBA" w:rsidRDefault="00076FBA" w:rsidP="00076FBA">
      <w:pPr>
        <w:autoSpaceDE w:val="0"/>
        <w:autoSpaceDN w:val="0"/>
        <w:adjustRightInd w:val="0"/>
        <w:spacing w:after="120" w:line="276" w:lineRule="auto"/>
        <w:jc w:val="both"/>
        <w:rPr>
          <w:rFonts w:cstheme="minorHAnsi"/>
          <w:b/>
          <w:bCs/>
        </w:rPr>
      </w:pPr>
      <w:r>
        <w:rPr>
          <w:b/>
        </w:rPr>
        <w:t>4. artikulua. Jokamolde hautagarriak</w:t>
      </w:r>
    </w:p>
    <w:p w14:paraId="266D0B0F" w14:textId="53AB3EA4" w:rsidR="00076FBA" w:rsidRPr="00076FBA" w:rsidRDefault="00076FBA" w:rsidP="00076FBA">
      <w:pPr>
        <w:autoSpaceDE w:val="0"/>
        <w:autoSpaceDN w:val="0"/>
        <w:adjustRightInd w:val="0"/>
        <w:spacing w:after="120" w:line="276" w:lineRule="auto"/>
        <w:jc w:val="both"/>
        <w:rPr>
          <w:rFonts w:cstheme="minorHAnsi"/>
        </w:rPr>
      </w:pPr>
      <w:r>
        <w:t>BEG-igorpenak murriztu, ekidin edo atzitu beharko dituzte; ingurumen-, gizarte- eta ekonomia-jasangarritasuneko irizpideak bete; eta Europar Batasunak aitorturiko metodologietan edo nazioarteko estandaretan beharko dira oinarritu (Gold Standard, VCS, ISO 14064).</w:t>
      </w:r>
    </w:p>
    <w:p w14:paraId="404E0B2D" w14:textId="77777777" w:rsidR="00076FBA" w:rsidRPr="00076FBA" w:rsidRDefault="00076FBA" w:rsidP="00076FBA">
      <w:pPr>
        <w:autoSpaceDE w:val="0"/>
        <w:autoSpaceDN w:val="0"/>
        <w:adjustRightInd w:val="0"/>
        <w:spacing w:after="120" w:line="276" w:lineRule="auto"/>
        <w:jc w:val="both"/>
        <w:rPr>
          <w:rFonts w:cstheme="minorHAnsi"/>
          <w:b/>
          <w:bCs/>
        </w:rPr>
      </w:pPr>
      <w:r>
        <w:rPr>
          <w:b/>
        </w:rPr>
        <w:t>5. artikulua. Egiaztapena</w:t>
      </w:r>
    </w:p>
    <w:p w14:paraId="5680B18F" w14:textId="795A07BF" w:rsidR="00076FBA" w:rsidRPr="00076FBA" w:rsidRDefault="00076FBA" w:rsidP="00076FBA">
      <w:pPr>
        <w:autoSpaceDE w:val="0"/>
        <w:autoSpaceDN w:val="0"/>
        <w:adjustRightInd w:val="0"/>
        <w:spacing w:after="120" w:line="276" w:lineRule="auto"/>
        <w:jc w:val="both"/>
        <w:rPr>
          <w:rFonts w:cstheme="minorHAnsi"/>
        </w:rPr>
      </w:pPr>
      <w:r>
        <w:t>163/2014 Errege Dekretuaren, ISO/EN 14065 araudiaren eta etorkizuneko europar araubidearen arabera akreditaturiko entitateek eginen dute. Haiek bermatu beharrekoak izanen dira gehigarritasuna, iraunkortasuna, isuririk eza eta kontabilizazio bikoitzik eza.</w:t>
      </w:r>
    </w:p>
    <w:p w14:paraId="2228AF8A" w14:textId="77777777" w:rsidR="00076FBA" w:rsidRPr="00076FBA" w:rsidRDefault="00076FBA" w:rsidP="00076FBA">
      <w:pPr>
        <w:autoSpaceDE w:val="0"/>
        <w:autoSpaceDN w:val="0"/>
        <w:adjustRightInd w:val="0"/>
        <w:spacing w:after="120" w:line="276" w:lineRule="auto"/>
        <w:jc w:val="both"/>
        <w:rPr>
          <w:rFonts w:cstheme="minorHAnsi"/>
          <w:b/>
          <w:bCs/>
        </w:rPr>
      </w:pPr>
      <w:r>
        <w:rPr>
          <w:b/>
        </w:rPr>
        <w:t>6. artikulua. Ziurtatze-entitateak</w:t>
      </w:r>
    </w:p>
    <w:p w14:paraId="1A043BCB" w14:textId="77777777" w:rsidR="00C2725E" w:rsidRDefault="00076FBA" w:rsidP="00076FBA">
      <w:pPr>
        <w:autoSpaceDE w:val="0"/>
        <w:autoSpaceDN w:val="0"/>
        <w:adjustRightInd w:val="0"/>
        <w:spacing w:after="120" w:line="276" w:lineRule="auto"/>
        <w:jc w:val="both"/>
        <w:rPr>
          <w:rFonts w:cstheme="minorHAnsi"/>
        </w:rPr>
      </w:pPr>
      <w:r>
        <w:t xml:space="preserve">Ziurtatze-entitate gisa aitortzen dira INTIA eta GAN-NKI, eta aginduzkoa dute ISO akreditazioa. Zilegi izanen dute elkarlanean aritzea unibertsitateekin eta zentro teknologikoekin, bai eta entitate pribatu akreditatuekin ere. </w:t>
      </w:r>
    </w:p>
    <w:p w14:paraId="03DF6459" w14:textId="652365C6" w:rsidR="00076FBA" w:rsidRPr="00076FBA" w:rsidRDefault="00076FBA" w:rsidP="00076FBA">
      <w:pPr>
        <w:autoSpaceDE w:val="0"/>
        <w:autoSpaceDN w:val="0"/>
        <w:adjustRightInd w:val="0"/>
        <w:spacing w:after="120" w:line="276" w:lineRule="auto"/>
        <w:jc w:val="both"/>
        <w:rPr>
          <w:rFonts w:cstheme="minorHAnsi"/>
          <w:b/>
          <w:bCs/>
        </w:rPr>
      </w:pPr>
      <w:r>
        <w:rPr>
          <w:b/>
        </w:rPr>
        <w:t>7. artikulua. Kooperatibak, ziurtatze-elkarte gisako jardunean</w:t>
      </w:r>
    </w:p>
    <w:p w14:paraId="2C19599D" w14:textId="77777777" w:rsidR="00076FBA" w:rsidRPr="00076FBA" w:rsidRDefault="00076FBA" w:rsidP="00076FBA">
      <w:pPr>
        <w:autoSpaceDE w:val="0"/>
        <w:autoSpaceDN w:val="0"/>
        <w:adjustRightInd w:val="0"/>
        <w:spacing w:after="120" w:line="276" w:lineRule="auto"/>
        <w:jc w:val="both"/>
        <w:rPr>
          <w:rFonts w:cstheme="minorHAnsi"/>
        </w:rPr>
      </w:pPr>
      <w:r>
        <w:t>Kooperatibek zilegi izanen dute ziurtatze-elkarte gisa jardutea, honako hauek betetzen badituzte:</w:t>
      </w:r>
    </w:p>
    <w:p w14:paraId="638FA71D" w14:textId="77777777" w:rsidR="00076FBA" w:rsidRPr="00076FBA" w:rsidRDefault="00076FBA" w:rsidP="00076FBA">
      <w:pPr>
        <w:autoSpaceDE w:val="0"/>
        <w:autoSpaceDN w:val="0"/>
        <w:adjustRightInd w:val="0"/>
        <w:spacing w:after="120" w:line="276" w:lineRule="auto"/>
        <w:jc w:val="both"/>
        <w:rPr>
          <w:rFonts w:cstheme="minorHAnsi"/>
        </w:rPr>
      </w:pPr>
      <w:r>
        <w:t>a) MRV arloko ahalmen teknikoa.</w:t>
      </w:r>
    </w:p>
    <w:p w14:paraId="190ADD87" w14:textId="77777777" w:rsidR="00076FBA" w:rsidRPr="00076FBA" w:rsidRDefault="00076FBA" w:rsidP="00076FBA">
      <w:pPr>
        <w:autoSpaceDE w:val="0"/>
        <w:autoSpaceDN w:val="0"/>
        <w:adjustRightInd w:val="0"/>
        <w:spacing w:after="120" w:line="276" w:lineRule="auto"/>
        <w:jc w:val="both"/>
        <w:rPr>
          <w:rFonts w:cstheme="minorHAnsi"/>
        </w:rPr>
      </w:pPr>
      <w:r>
        <w:t>b) Metodologia baliozkotuak.</w:t>
      </w:r>
    </w:p>
    <w:p w14:paraId="50E13D4A" w14:textId="77777777" w:rsidR="00076FBA" w:rsidRPr="00076FBA" w:rsidRDefault="00076FBA" w:rsidP="00076FBA">
      <w:pPr>
        <w:autoSpaceDE w:val="0"/>
        <w:autoSpaceDN w:val="0"/>
        <w:adjustRightInd w:val="0"/>
        <w:spacing w:after="120" w:line="276" w:lineRule="auto"/>
        <w:jc w:val="both"/>
        <w:rPr>
          <w:rFonts w:cstheme="minorHAnsi"/>
        </w:rPr>
      </w:pPr>
      <w:r>
        <w:t>c) Gardentasuna eta trazabilitatea.</w:t>
      </w:r>
    </w:p>
    <w:p w14:paraId="6BF91107" w14:textId="77777777" w:rsidR="00076FBA" w:rsidRPr="00076FBA" w:rsidRDefault="00076FBA" w:rsidP="00076FBA">
      <w:pPr>
        <w:autoSpaceDE w:val="0"/>
        <w:autoSpaceDN w:val="0"/>
        <w:adjustRightInd w:val="0"/>
        <w:spacing w:after="120" w:line="276" w:lineRule="auto"/>
        <w:jc w:val="both"/>
        <w:rPr>
          <w:rFonts w:cstheme="minorHAnsi"/>
        </w:rPr>
      </w:pPr>
      <w:r>
        <w:t>Interes-gatazkak saihestearren, eginkizun-banaketa bermatu beharko dute.</w:t>
      </w:r>
    </w:p>
    <w:p w14:paraId="4D0F2EE1" w14:textId="77777777" w:rsidR="00076FBA" w:rsidRPr="00076FBA" w:rsidRDefault="00076FBA" w:rsidP="00076FBA">
      <w:pPr>
        <w:autoSpaceDE w:val="0"/>
        <w:autoSpaceDN w:val="0"/>
        <w:adjustRightInd w:val="0"/>
        <w:spacing w:after="120" w:line="276" w:lineRule="auto"/>
        <w:jc w:val="both"/>
        <w:rPr>
          <w:rFonts w:cstheme="minorHAnsi"/>
          <w:b/>
          <w:bCs/>
        </w:rPr>
      </w:pPr>
      <w:r>
        <w:rPr>
          <w:b/>
        </w:rPr>
        <w:lastRenderedPageBreak/>
        <w:t>III. TITULUA: KOMERTZIALIZAZIOA ETA ERREGISTRATZEA</w:t>
      </w:r>
    </w:p>
    <w:p w14:paraId="5A8658F6" w14:textId="77777777" w:rsidR="00076FBA" w:rsidRPr="00076FBA" w:rsidRDefault="00076FBA" w:rsidP="00076FBA">
      <w:pPr>
        <w:autoSpaceDE w:val="0"/>
        <w:autoSpaceDN w:val="0"/>
        <w:adjustRightInd w:val="0"/>
        <w:spacing w:after="120" w:line="276" w:lineRule="auto"/>
        <w:jc w:val="both"/>
        <w:rPr>
          <w:rFonts w:cstheme="minorHAnsi"/>
          <w:b/>
          <w:bCs/>
        </w:rPr>
      </w:pPr>
      <w:r>
        <w:rPr>
          <w:b/>
        </w:rPr>
        <w:t>8. artikulua. Komertzializazioa</w:t>
      </w:r>
    </w:p>
    <w:p w14:paraId="6EDCF09B" w14:textId="16964728" w:rsidR="00076FBA" w:rsidRPr="00076FBA" w:rsidRDefault="00076FBA" w:rsidP="00076FBA">
      <w:pPr>
        <w:autoSpaceDE w:val="0"/>
        <w:autoSpaceDN w:val="0"/>
        <w:adjustRightInd w:val="0"/>
        <w:spacing w:after="120" w:line="276" w:lineRule="auto"/>
        <w:jc w:val="both"/>
        <w:rPr>
          <w:rFonts w:cstheme="minorHAnsi"/>
        </w:rPr>
      </w:pPr>
      <w:r>
        <w:t>Borondatezko foru-merkatu bat ezartzen da, bateragarria izanen dena merkatu nazional, europar nahiz nazioartekoekin. Zilegi izanen da kredituak zuzenean negoziatzea, edo baimendutako plataforma digitalen bitartez.</w:t>
      </w:r>
    </w:p>
    <w:p w14:paraId="2D075801" w14:textId="77777777" w:rsidR="00076FBA" w:rsidRPr="00076FBA" w:rsidRDefault="00076FBA" w:rsidP="00076FBA">
      <w:pPr>
        <w:autoSpaceDE w:val="0"/>
        <w:autoSpaceDN w:val="0"/>
        <w:adjustRightInd w:val="0"/>
        <w:spacing w:after="120" w:line="276" w:lineRule="auto"/>
        <w:jc w:val="both"/>
        <w:rPr>
          <w:rFonts w:cstheme="minorHAnsi"/>
          <w:b/>
          <w:bCs/>
        </w:rPr>
      </w:pPr>
      <w:r>
        <w:rPr>
          <w:b/>
        </w:rPr>
        <w:t>9. artikulua. Komertzializazioa eta kooperatiben lehenespena</w:t>
      </w:r>
    </w:p>
    <w:p w14:paraId="41E04613" w14:textId="66F8D0F8" w:rsidR="00076FBA" w:rsidRPr="00076FBA" w:rsidRDefault="00076FBA" w:rsidP="00076FBA">
      <w:pPr>
        <w:autoSpaceDE w:val="0"/>
        <w:autoSpaceDN w:val="0"/>
        <w:adjustRightInd w:val="0"/>
        <w:spacing w:after="120" w:line="276" w:lineRule="auto"/>
        <w:jc w:val="both"/>
        <w:rPr>
          <w:rFonts w:cstheme="minorHAnsi"/>
        </w:rPr>
      </w:pPr>
      <w:r>
        <w:t>1. Nafarroan sorturiko karbono-kredituak borondatezko merkatuetan komertzializatu ahalko dira zuzeneko eragiketen bidez nahiz baimendutako plataforma digitalen bitartez.</w:t>
      </w:r>
    </w:p>
    <w:p w14:paraId="70DEDAA7" w14:textId="39FE7977" w:rsidR="00076FBA" w:rsidRPr="00076FBA" w:rsidRDefault="00076FBA" w:rsidP="00076FBA">
      <w:pPr>
        <w:spacing w:after="120" w:line="276" w:lineRule="auto"/>
        <w:jc w:val="both"/>
        <w:rPr>
          <w:rFonts w:cstheme="minorHAnsi"/>
        </w:rPr>
      </w:pPr>
      <w:r>
        <w:t>2. Jomuga harturik lurralde-kohesioa, ekoizle txikiek ekitatezko sarbidea izatea eta eskaintzaren agregazioa gardentasunez lor daitezela, ziurtatze-kooperatibei lehentasuna aitortzen zaie beren bazkideek sorturiko kredituak komertzializatzeko, baldin eta honako betekizun hauek betetzen badituzte:</w:t>
      </w:r>
    </w:p>
    <w:p w14:paraId="54C5AC1B" w14:textId="77777777" w:rsidR="00076FBA" w:rsidRPr="00076FBA" w:rsidRDefault="00076FBA" w:rsidP="00076FBA">
      <w:pPr>
        <w:autoSpaceDE w:val="0"/>
        <w:autoSpaceDN w:val="0"/>
        <w:adjustRightInd w:val="0"/>
        <w:spacing w:after="120" w:line="276" w:lineRule="auto"/>
        <w:jc w:val="both"/>
        <w:rPr>
          <w:rFonts w:cstheme="minorHAnsi"/>
        </w:rPr>
      </w:pPr>
      <w:r>
        <w:t>a) Agregazio- eta salmenta-prozesuen gardentasuna.</w:t>
      </w:r>
    </w:p>
    <w:p w14:paraId="3E68797A" w14:textId="77777777" w:rsidR="00076FBA" w:rsidRPr="00076FBA" w:rsidRDefault="00076FBA" w:rsidP="00076FBA">
      <w:pPr>
        <w:autoSpaceDE w:val="0"/>
        <w:autoSpaceDN w:val="0"/>
        <w:adjustRightInd w:val="0"/>
        <w:spacing w:after="120" w:line="276" w:lineRule="auto"/>
        <w:jc w:val="both"/>
        <w:rPr>
          <w:rFonts w:cstheme="minorHAnsi"/>
        </w:rPr>
      </w:pPr>
      <w:r>
        <w:t>b) Diskriminaziorik gabe bazkide guztiei irekitako konkurrentzia.</w:t>
      </w:r>
    </w:p>
    <w:p w14:paraId="7A324F70" w14:textId="33764B05" w:rsidR="00076FBA" w:rsidRPr="00076FBA" w:rsidRDefault="00076FBA" w:rsidP="00076FBA">
      <w:pPr>
        <w:autoSpaceDE w:val="0"/>
        <w:autoSpaceDN w:val="0"/>
        <w:adjustRightInd w:val="0"/>
        <w:spacing w:after="120" w:line="276" w:lineRule="auto"/>
        <w:jc w:val="both"/>
        <w:rPr>
          <w:rFonts w:cstheme="minorHAnsi"/>
        </w:rPr>
      </w:pPr>
      <w:r>
        <w:t>c) Foru Erregistroaren araberako trazabilitate-akreditazioa eta kreditu-kalitatea.</w:t>
      </w:r>
    </w:p>
    <w:p w14:paraId="56EFD63A" w14:textId="1EDC170B" w:rsidR="00076FBA" w:rsidRPr="00076FBA" w:rsidRDefault="00076FBA" w:rsidP="00076FBA">
      <w:pPr>
        <w:autoSpaceDE w:val="0"/>
        <w:autoSpaceDN w:val="0"/>
        <w:adjustRightInd w:val="0"/>
        <w:spacing w:after="120" w:line="276" w:lineRule="auto"/>
        <w:jc w:val="both"/>
        <w:rPr>
          <w:rFonts w:cstheme="minorHAnsi"/>
        </w:rPr>
      </w:pPr>
      <w:r>
        <w:t>3. Lehentasun horrek ez du baztertzen banakako ekoizleek beren kredituak zuzen-zuzenean nahiz beste entitate baimendu batzuen bitartez komertzializatu ahal izatea, betiere errespetaturik lehia askearen, proportzionaltasunaren eta diskriminaziorik ezaren printzipioak.</w:t>
      </w:r>
    </w:p>
    <w:p w14:paraId="49FA41DE" w14:textId="77777777" w:rsidR="00076FBA" w:rsidRPr="00076FBA" w:rsidRDefault="00076FBA" w:rsidP="00076FBA">
      <w:pPr>
        <w:autoSpaceDE w:val="0"/>
        <w:autoSpaceDN w:val="0"/>
        <w:adjustRightInd w:val="0"/>
        <w:spacing w:after="120" w:line="276" w:lineRule="auto"/>
        <w:jc w:val="both"/>
        <w:rPr>
          <w:rFonts w:cstheme="minorHAnsi"/>
          <w:b/>
          <w:bCs/>
        </w:rPr>
      </w:pPr>
      <w:r>
        <w:rPr>
          <w:b/>
        </w:rPr>
        <w:t>10. artikulua. Foru Erregistroa</w:t>
      </w:r>
    </w:p>
    <w:p w14:paraId="33907F3C" w14:textId="1CDB9A9A" w:rsidR="00076FBA" w:rsidRPr="00076FBA" w:rsidRDefault="00076FBA" w:rsidP="00076FBA">
      <w:pPr>
        <w:autoSpaceDE w:val="0"/>
        <w:autoSpaceDN w:val="0"/>
        <w:adjustRightInd w:val="0"/>
        <w:spacing w:after="120" w:line="276" w:lineRule="auto"/>
        <w:jc w:val="both"/>
        <w:rPr>
          <w:rFonts w:cstheme="minorHAnsi"/>
        </w:rPr>
      </w:pPr>
      <w:r>
        <w:t>Karbono Kredituen Foru Erregistroa eratzen da, eta elkarroperagarria izanen da Igorpen Eskubideen Erregistro Nazionalarekin eta etorkizuneko Europar Absortzio Erregistroarekin. Transakzio oro inskribatuta egon beharko da, balio juridiko eta fiskala izatekoa bada.</w:t>
      </w:r>
    </w:p>
    <w:p w14:paraId="496DFF82" w14:textId="77777777" w:rsidR="00076FBA" w:rsidRPr="00076FBA" w:rsidRDefault="00076FBA" w:rsidP="00076FBA">
      <w:pPr>
        <w:autoSpaceDE w:val="0"/>
        <w:autoSpaceDN w:val="0"/>
        <w:adjustRightInd w:val="0"/>
        <w:spacing w:after="120" w:line="276" w:lineRule="auto"/>
        <w:jc w:val="both"/>
        <w:rPr>
          <w:rFonts w:cstheme="minorHAnsi"/>
          <w:b/>
          <w:bCs/>
        </w:rPr>
      </w:pPr>
      <w:r>
        <w:rPr>
          <w:b/>
        </w:rPr>
        <w:t>11. artikulua. Gardentasuna</w:t>
      </w:r>
    </w:p>
    <w:p w14:paraId="5DB690BF" w14:textId="77930115" w:rsidR="00076FBA" w:rsidRPr="00076FBA" w:rsidRDefault="00076FBA" w:rsidP="00076FBA">
      <w:pPr>
        <w:autoSpaceDE w:val="0"/>
        <w:autoSpaceDN w:val="0"/>
        <w:adjustRightInd w:val="0"/>
        <w:spacing w:after="120" w:line="276" w:lineRule="auto"/>
        <w:jc w:val="both"/>
        <w:rPr>
          <w:rFonts w:cstheme="minorHAnsi"/>
        </w:rPr>
      </w:pPr>
      <w:r>
        <w:t>Urtero, Nafarroako Gobernuak batez besteko prezioak, transakzio-bolumena eta proiektu inskribatuak argitaratuko ditu.</w:t>
      </w:r>
    </w:p>
    <w:p w14:paraId="3FDBD5F7" w14:textId="77777777" w:rsidR="00076FBA" w:rsidRPr="00076FBA" w:rsidRDefault="00076FBA" w:rsidP="00076FBA">
      <w:pPr>
        <w:autoSpaceDE w:val="0"/>
        <w:autoSpaceDN w:val="0"/>
        <w:adjustRightInd w:val="0"/>
        <w:spacing w:after="120" w:line="276" w:lineRule="auto"/>
        <w:jc w:val="both"/>
        <w:rPr>
          <w:rFonts w:cstheme="minorHAnsi"/>
          <w:b/>
          <w:bCs/>
        </w:rPr>
      </w:pPr>
      <w:r>
        <w:rPr>
          <w:b/>
        </w:rPr>
        <w:t>IV. TITULUA: PIZGARRIAK ETA FISKALITATEA</w:t>
      </w:r>
    </w:p>
    <w:p w14:paraId="6FAC31C1" w14:textId="77777777" w:rsidR="00076FBA" w:rsidRPr="00076FBA" w:rsidRDefault="00076FBA" w:rsidP="00076FBA">
      <w:pPr>
        <w:autoSpaceDE w:val="0"/>
        <w:autoSpaceDN w:val="0"/>
        <w:adjustRightInd w:val="0"/>
        <w:spacing w:after="120" w:line="276" w:lineRule="auto"/>
        <w:jc w:val="both"/>
        <w:rPr>
          <w:rFonts w:cstheme="minorHAnsi"/>
          <w:b/>
          <w:bCs/>
        </w:rPr>
      </w:pPr>
      <w:r>
        <w:rPr>
          <w:b/>
        </w:rPr>
        <w:t>11. artikulua. Pizgarriak</w:t>
      </w:r>
    </w:p>
    <w:p w14:paraId="0E28BC48" w14:textId="7CEDAB80" w:rsidR="00076FBA" w:rsidRPr="00076FBA" w:rsidRDefault="00076FBA" w:rsidP="00076FBA">
      <w:pPr>
        <w:autoSpaceDE w:val="0"/>
        <w:autoSpaceDN w:val="0"/>
        <w:adjustRightInd w:val="0"/>
        <w:spacing w:after="120" w:line="276" w:lineRule="auto"/>
        <w:jc w:val="both"/>
        <w:rPr>
          <w:rFonts w:cstheme="minorHAnsi"/>
        </w:rPr>
      </w:pPr>
      <w:r>
        <w:t xml:space="preserve">• </w:t>
      </w:r>
      <w:r>
        <w:rPr>
          <w:b/>
        </w:rPr>
        <w:t>Sozietateen gaineko Zerga:</w:t>
      </w:r>
      <w:r>
        <w:t xml:space="preserve"> % 20ko kenkaria, kredituetatiko diru-sarrerengatik (% 25ekoa, haiek biziberritze-praktiketatik eratorriak izanez gero).</w:t>
      </w:r>
    </w:p>
    <w:p w14:paraId="6536AFAF" w14:textId="60C5D5DB"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PFEZa: </w:t>
      </w:r>
      <w:r>
        <w:t>3.000 €/urte-rainoko salbuespena (kopuru hori 5.000 eurokoa izanen da ziurtatze-kooperatiba bateko bazkide izanez gero).</w:t>
      </w:r>
    </w:p>
    <w:p w14:paraId="301A4176" w14:textId="391FFA68"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Kotizazio sozialak: </w:t>
      </w:r>
      <w:r>
        <w:t>% 30eko hobaria bost urtez, proiektu akreditatuentzat.</w:t>
      </w:r>
    </w:p>
    <w:p w14:paraId="21F56ED8" w14:textId="2589C600"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Amortizazio azkartua: </w:t>
      </w:r>
      <w:r>
        <w:t>Inbertsio ziurtatuak urtean % 20raino amortizatu ahalko dira.</w:t>
      </w:r>
    </w:p>
    <w:p w14:paraId="1AC00C6A" w14:textId="3EB393F2"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Dirulaguntzak: </w:t>
      </w:r>
      <w:r>
        <w:t>Ziurtapen-kostuen % 40raino estaliko duen foru-funtsa.</w:t>
      </w:r>
    </w:p>
    <w:p w14:paraId="71AB52F5" w14:textId="411F99EF"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Erosleak: </w:t>
      </w:r>
      <w:r>
        <w:t>Kenkari partziala (% 30) Sozietateen gaineko Zergan, inskribaturiko Nafarroako kredituengatik.</w:t>
      </w:r>
    </w:p>
    <w:p w14:paraId="549A66D5" w14:textId="77777777" w:rsidR="00076FBA" w:rsidRPr="00076FBA" w:rsidRDefault="00076FBA" w:rsidP="00076FBA">
      <w:pPr>
        <w:autoSpaceDE w:val="0"/>
        <w:autoSpaceDN w:val="0"/>
        <w:adjustRightInd w:val="0"/>
        <w:spacing w:after="120" w:line="276" w:lineRule="auto"/>
        <w:jc w:val="both"/>
        <w:rPr>
          <w:rFonts w:cstheme="minorHAnsi"/>
        </w:rPr>
      </w:pPr>
      <w:r>
        <w:lastRenderedPageBreak/>
        <w:t>Pizgarri horiek Estatu-laguntzei buruzko europar araubidearen araberakoak izanen dira.</w:t>
      </w:r>
    </w:p>
    <w:p w14:paraId="4267CD86" w14:textId="77777777" w:rsidR="00076FBA" w:rsidRPr="00076FBA" w:rsidRDefault="00076FBA" w:rsidP="00076FBA">
      <w:pPr>
        <w:autoSpaceDE w:val="0"/>
        <w:autoSpaceDN w:val="0"/>
        <w:adjustRightInd w:val="0"/>
        <w:spacing w:after="120" w:line="276" w:lineRule="auto"/>
        <w:jc w:val="both"/>
        <w:rPr>
          <w:rFonts w:cstheme="minorHAnsi"/>
          <w:b/>
          <w:bCs/>
        </w:rPr>
      </w:pPr>
      <w:r>
        <w:rPr>
          <w:b/>
        </w:rPr>
        <w:t>V. TITULUA ZEHAPEN-ARAUBIDEA</w:t>
      </w:r>
    </w:p>
    <w:p w14:paraId="234466D9" w14:textId="77777777" w:rsidR="00076FBA" w:rsidRPr="00076FBA" w:rsidRDefault="00076FBA" w:rsidP="00076FBA">
      <w:pPr>
        <w:autoSpaceDE w:val="0"/>
        <w:autoSpaceDN w:val="0"/>
        <w:adjustRightInd w:val="0"/>
        <w:spacing w:after="120" w:line="276" w:lineRule="auto"/>
        <w:jc w:val="both"/>
        <w:rPr>
          <w:rFonts w:cstheme="minorHAnsi"/>
          <w:b/>
          <w:bCs/>
        </w:rPr>
      </w:pPr>
      <w:r>
        <w:rPr>
          <w:b/>
        </w:rPr>
        <w:t>12. artikulua. Arau-hausteak eta zehapenak</w:t>
      </w:r>
    </w:p>
    <w:p w14:paraId="6F05730C" w14:textId="7BB84C48" w:rsidR="00076FBA" w:rsidRPr="00076FBA" w:rsidRDefault="00076FBA" w:rsidP="00076FBA">
      <w:pPr>
        <w:spacing w:after="120" w:line="276" w:lineRule="auto"/>
        <w:jc w:val="both"/>
        <w:rPr>
          <w:rFonts w:cstheme="minorHAnsi"/>
        </w:rPr>
      </w:pPr>
      <w:r>
        <w:t xml:space="preserve">• </w:t>
      </w:r>
      <w:r>
        <w:rPr>
          <w:b/>
        </w:rPr>
        <w:t xml:space="preserve">Arinak: </w:t>
      </w:r>
      <w:r>
        <w:t>Dokumenturik ezak. 600 €–10.000 € bitarteko isuna.</w:t>
      </w:r>
    </w:p>
    <w:p w14:paraId="315236B1" w14:textId="506CDE98"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Astunak: </w:t>
      </w:r>
      <w:r>
        <w:t>Datu-manipulazioa, egiaztapen akastuna. 10.001 €–150.000 € bitarteko isuna.</w:t>
      </w:r>
    </w:p>
    <w:p w14:paraId="04BFEBA0" w14:textId="6AAE0071" w:rsidR="00076FBA" w:rsidRPr="00076FBA" w:rsidRDefault="00076FBA" w:rsidP="00076FBA">
      <w:pPr>
        <w:autoSpaceDE w:val="0"/>
        <w:autoSpaceDN w:val="0"/>
        <w:adjustRightInd w:val="0"/>
        <w:spacing w:after="120" w:line="276" w:lineRule="auto"/>
        <w:jc w:val="both"/>
        <w:rPr>
          <w:rFonts w:cstheme="minorHAnsi"/>
        </w:rPr>
      </w:pPr>
      <w:r>
        <w:t xml:space="preserve">• </w:t>
      </w:r>
      <w:r>
        <w:rPr>
          <w:b/>
        </w:rPr>
        <w:t xml:space="preserve">Oso astunak: </w:t>
      </w:r>
      <w:r>
        <w:t>Faltsutzea, kontabilitate bikoitza, ingurumen-kaltea. 150.001 €–1.500.000 € bitarteko isuna, 10 urterainoko jardute-desgaikuntza.</w:t>
      </w:r>
    </w:p>
    <w:p w14:paraId="2B4A4AFD" w14:textId="1F0E624A" w:rsidR="00076FBA" w:rsidRPr="00076FBA" w:rsidRDefault="00076FBA" w:rsidP="00076FBA">
      <w:pPr>
        <w:autoSpaceDE w:val="0"/>
        <w:autoSpaceDN w:val="0"/>
        <w:adjustRightInd w:val="0"/>
        <w:spacing w:after="120" w:line="276" w:lineRule="auto"/>
        <w:jc w:val="both"/>
        <w:rPr>
          <w:rFonts w:cstheme="minorHAnsi"/>
        </w:rPr>
      </w:pPr>
      <w:r>
        <w:t>Zenbatekoak kasuko karbono-dioxido tona baliokideen kopuruaren arabera graduatuko dira. 4/2022 Foru Legeko prozedura aplikatuko da.</w:t>
      </w:r>
    </w:p>
    <w:p w14:paraId="5C2B86A7" w14:textId="77777777" w:rsidR="00076FBA" w:rsidRPr="00076FBA" w:rsidRDefault="00076FBA" w:rsidP="00076FBA">
      <w:pPr>
        <w:autoSpaceDE w:val="0"/>
        <w:autoSpaceDN w:val="0"/>
        <w:adjustRightInd w:val="0"/>
        <w:spacing w:after="120" w:line="276" w:lineRule="auto"/>
        <w:jc w:val="both"/>
        <w:rPr>
          <w:rFonts w:cstheme="minorHAnsi"/>
          <w:b/>
          <w:bCs/>
        </w:rPr>
      </w:pPr>
      <w:r>
        <w:rPr>
          <w:b/>
        </w:rPr>
        <w:t>VI. TITULUA: GOBERNANTZA, PARTE-HARTZEA ETA KONTROLA</w:t>
      </w:r>
    </w:p>
    <w:p w14:paraId="0CD99E18" w14:textId="77777777" w:rsidR="00076FBA" w:rsidRPr="00076FBA" w:rsidRDefault="00076FBA" w:rsidP="00076FBA">
      <w:pPr>
        <w:autoSpaceDE w:val="0"/>
        <w:autoSpaceDN w:val="0"/>
        <w:adjustRightInd w:val="0"/>
        <w:spacing w:after="120" w:line="276" w:lineRule="auto"/>
        <w:jc w:val="both"/>
        <w:rPr>
          <w:rFonts w:cstheme="minorHAnsi"/>
          <w:b/>
          <w:bCs/>
        </w:rPr>
      </w:pPr>
      <w:r>
        <w:rPr>
          <w:b/>
        </w:rPr>
        <w:t>13. artikulua. Agintari eskuduna</w:t>
      </w:r>
    </w:p>
    <w:p w14:paraId="48E9BE50" w14:textId="5DF2302E" w:rsidR="00076FBA" w:rsidRPr="00076FBA" w:rsidRDefault="00076FBA" w:rsidP="00076FBA">
      <w:pPr>
        <w:autoSpaceDE w:val="0"/>
        <w:autoSpaceDN w:val="0"/>
        <w:adjustRightInd w:val="0"/>
        <w:spacing w:after="120" w:line="276" w:lineRule="auto"/>
        <w:jc w:val="both"/>
        <w:rPr>
          <w:rFonts w:cstheme="minorHAnsi"/>
        </w:rPr>
      </w:pPr>
      <w:r>
        <w:t>Nafarroako Gobernuak klima-aldaketaren alorreko eskumena duen zuzendaritza nagusia hautatuko du lege hau aplikatzearen erantzukizuna duen agintari gisa, zeina honako hauetaz arduratuko baita:</w:t>
      </w:r>
    </w:p>
    <w:p w14:paraId="4A36F195" w14:textId="77777777" w:rsidR="00076FBA" w:rsidRPr="00076FBA" w:rsidRDefault="00076FBA" w:rsidP="00076FBA">
      <w:pPr>
        <w:autoSpaceDE w:val="0"/>
        <w:autoSpaceDN w:val="0"/>
        <w:adjustRightInd w:val="0"/>
        <w:spacing w:after="120" w:line="276" w:lineRule="auto"/>
        <w:jc w:val="both"/>
        <w:rPr>
          <w:rFonts w:cstheme="minorHAnsi"/>
        </w:rPr>
      </w:pPr>
      <w:r>
        <w:t>a) Karbono Kredituen Foru Erregistroa kudeatzea.</w:t>
      </w:r>
    </w:p>
    <w:p w14:paraId="38DEC35C" w14:textId="77777777" w:rsidR="00076FBA" w:rsidRPr="00076FBA" w:rsidRDefault="00076FBA" w:rsidP="00076FBA">
      <w:pPr>
        <w:autoSpaceDE w:val="0"/>
        <w:autoSpaceDN w:val="0"/>
        <w:adjustRightInd w:val="0"/>
        <w:spacing w:after="120" w:line="276" w:lineRule="auto"/>
        <w:jc w:val="both"/>
        <w:rPr>
          <w:rFonts w:cstheme="minorHAnsi"/>
        </w:rPr>
      </w:pPr>
      <w:r>
        <w:t>b) Ziurtatze-entitate eta kooperatiba akreditatuak ikuskatzea.</w:t>
      </w:r>
    </w:p>
    <w:p w14:paraId="54F97F48" w14:textId="77777777" w:rsidR="00076FBA" w:rsidRPr="00076FBA" w:rsidRDefault="00076FBA" w:rsidP="00076FBA">
      <w:pPr>
        <w:autoSpaceDE w:val="0"/>
        <w:autoSpaceDN w:val="0"/>
        <w:adjustRightInd w:val="0"/>
        <w:spacing w:after="120" w:line="276" w:lineRule="auto"/>
        <w:jc w:val="both"/>
        <w:rPr>
          <w:rFonts w:cstheme="minorHAnsi"/>
        </w:rPr>
      </w:pPr>
      <w:r>
        <w:t>c) Gidalerro tekniko eta metodologikoak jaulkitzea.</w:t>
      </w:r>
    </w:p>
    <w:p w14:paraId="2CC2F47F" w14:textId="554C5FD2" w:rsidR="00076FBA" w:rsidRPr="00076FBA" w:rsidRDefault="00076FBA" w:rsidP="00076FBA">
      <w:pPr>
        <w:autoSpaceDE w:val="0"/>
        <w:autoSpaceDN w:val="0"/>
        <w:adjustRightInd w:val="0"/>
        <w:spacing w:after="120" w:line="276" w:lineRule="auto"/>
        <w:jc w:val="both"/>
        <w:rPr>
          <w:rFonts w:cstheme="minorHAnsi"/>
        </w:rPr>
      </w:pPr>
      <w:r>
        <w:t>d) Trantsizio Ekologikorako eta Erronka Demografikorako Ministerioarekin eta Europako Batzordearekin koordinazioa egitea erregistroen elkarroperagarritasunari dagokionez.</w:t>
      </w:r>
    </w:p>
    <w:p w14:paraId="4E2A891F" w14:textId="77777777" w:rsidR="00076FBA" w:rsidRPr="00076FBA" w:rsidRDefault="00076FBA" w:rsidP="00076FBA">
      <w:pPr>
        <w:autoSpaceDE w:val="0"/>
        <w:autoSpaceDN w:val="0"/>
        <w:adjustRightInd w:val="0"/>
        <w:spacing w:after="120" w:line="276" w:lineRule="auto"/>
        <w:jc w:val="both"/>
        <w:rPr>
          <w:rFonts w:cstheme="minorHAnsi"/>
          <w:b/>
          <w:bCs/>
        </w:rPr>
      </w:pPr>
      <w:r>
        <w:rPr>
          <w:b/>
        </w:rPr>
        <w:t>14. artikulua. Karbono Kredituen Foru Bulegoa</w:t>
      </w:r>
    </w:p>
    <w:p w14:paraId="0934AF93" w14:textId="4968B08F" w:rsidR="00076FBA" w:rsidRPr="00076FBA" w:rsidRDefault="00076FBA" w:rsidP="00076FBA">
      <w:pPr>
        <w:autoSpaceDE w:val="0"/>
        <w:autoSpaceDN w:val="0"/>
        <w:adjustRightInd w:val="0"/>
        <w:spacing w:after="120" w:line="276" w:lineRule="auto"/>
        <w:jc w:val="both"/>
        <w:rPr>
          <w:rFonts w:cstheme="minorHAnsi"/>
        </w:rPr>
      </w:pPr>
      <w:r>
        <w:t>1. Karbono Kredituen Foru Bulegoa eratzen da, klima-aldaketaren gaineko eskumena duen departamentuari atxikita.</w:t>
      </w:r>
    </w:p>
    <w:p w14:paraId="4F969B4C" w14:textId="49931A55" w:rsidR="00076FBA" w:rsidRPr="00076FBA" w:rsidRDefault="00076FBA" w:rsidP="00076FBA">
      <w:pPr>
        <w:autoSpaceDE w:val="0"/>
        <w:autoSpaceDN w:val="0"/>
        <w:adjustRightInd w:val="0"/>
        <w:spacing w:after="120" w:line="276" w:lineRule="auto"/>
        <w:jc w:val="both"/>
        <w:rPr>
          <w:rFonts w:cstheme="minorHAnsi"/>
        </w:rPr>
      </w:pPr>
      <w:r>
        <w:t>2. Bulegoak leihatila bakun gisa lan eginen du ekoizleentzat, eta honako hauek eskainiko ditu:</w:t>
      </w:r>
    </w:p>
    <w:p w14:paraId="5FD08F85" w14:textId="77777777" w:rsidR="00076FBA" w:rsidRPr="00076FBA" w:rsidRDefault="00076FBA" w:rsidP="00076FBA">
      <w:pPr>
        <w:autoSpaceDE w:val="0"/>
        <w:autoSpaceDN w:val="0"/>
        <w:adjustRightInd w:val="0"/>
        <w:spacing w:after="120" w:line="276" w:lineRule="auto"/>
        <w:jc w:val="both"/>
        <w:rPr>
          <w:rFonts w:cstheme="minorHAnsi"/>
        </w:rPr>
      </w:pPr>
      <w:r>
        <w:t>a) Proiektu-taxuketarako laguntza teknikoa.</w:t>
      </w:r>
    </w:p>
    <w:p w14:paraId="5F1EC425" w14:textId="77777777" w:rsidR="00076FBA" w:rsidRPr="00076FBA" w:rsidRDefault="00076FBA" w:rsidP="00076FBA">
      <w:pPr>
        <w:autoSpaceDE w:val="0"/>
        <w:autoSpaceDN w:val="0"/>
        <w:adjustRightInd w:val="0"/>
        <w:spacing w:after="120" w:line="276" w:lineRule="auto"/>
        <w:jc w:val="both"/>
        <w:rPr>
          <w:rFonts w:cstheme="minorHAnsi"/>
        </w:rPr>
      </w:pPr>
      <w:r>
        <w:t>b) Foru Erregistroan inskripzioa egiteko euskarri-lana.</w:t>
      </w:r>
    </w:p>
    <w:p w14:paraId="3A57AFAF" w14:textId="77777777" w:rsidR="00076FBA" w:rsidRPr="00076FBA" w:rsidRDefault="00076FBA" w:rsidP="00076FBA">
      <w:pPr>
        <w:autoSpaceDE w:val="0"/>
        <w:autoSpaceDN w:val="0"/>
        <w:adjustRightInd w:val="0"/>
        <w:spacing w:after="120" w:line="276" w:lineRule="auto"/>
        <w:jc w:val="both"/>
        <w:rPr>
          <w:rFonts w:cstheme="minorHAnsi"/>
        </w:rPr>
      </w:pPr>
      <w:r>
        <w:t>c) Metodologia homologatuak eskueran jartzea.</w:t>
      </w:r>
    </w:p>
    <w:p w14:paraId="50FBAA29" w14:textId="77777777" w:rsidR="00076FBA" w:rsidRPr="00076FBA" w:rsidRDefault="00076FBA" w:rsidP="00076FBA">
      <w:pPr>
        <w:autoSpaceDE w:val="0"/>
        <w:autoSpaceDN w:val="0"/>
        <w:adjustRightInd w:val="0"/>
        <w:spacing w:after="120" w:line="276" w:lineRule="auto"/>
        <w:jc w:val="both"/>
        <w:rPr>
          <w:rFonts w:cstheme="minorHAnsi"/>
        </w:rPr>
      </w:pPr>
      <w:r>
        <w:t>d) Ziurtatze-kooperatibekiko eta INTIA eta GANNIKekiko koordinazioa.</w:t>
      </w:r>
    </w:p>
    <w:p w14:paraId="61BBBBB6" w14:textId="77777777" w:rsidR="00076FBA" w:rsidRPr="00076FBA" w:rsidRDefault="00076FBA" w:rsidP="00076FBA">
      <w:pPr>
        <w:autoSpaceDE w:val="0"/>
        <w:autoSpaceDN w:val="0"/>
        <w:adjustRightInd w:val="0"/>
        <w:spacing w:after="120" w:line="276" w:lineRule="auto"/>
        <w:jc w:val="both"/>
        <w:rPr>
          <w:rFonts w:cstheme="minorHAnsi"/>
          <w:b/>
          <w:bCs/>
        </w:rPr>
      </w:pPr>
      <w:r>
        <w:rPr>
          <w:b/>
        </w:rPr>
        <w:t>15. artikulua. Karbono Kredituen arloko Foru Kontseilu Aholku-emailea</w:t>
      </w:r>
    </w:p>
    <w:p w14:paraId="4B5FF5CF" w14:textId="03A01593" w:rsidR="00076FBA" w:rsidRPr="00076FBA" w:rsidRDefault="00076FBA" w:rsidP="00076FBA">
      <w:pPr>
        <w:autoSpaceDE w:val="0"/>
        <w:autoSpaceDN w:val="0"/>
        <w:adjustRightInd w:val="0"/>
        <w:spacing w:after="120" w:line="276" w:lineRule="auto"/>
        <w:jc w:val="both"/>
        <w:rPr>
          <w:rFonts w:cstheme="minorHAnsi"/>
        </w:rPr>
      </w:pPr>
      <w:r>
        <w:t>1. Kontseilu aholku-emaile bat eratzen da, parte-hartze eta kontsultarako organo gisa, honakoen ordezkariek osatua:</w:t>
      </w:r>
    </w:p>
    <w:p w14:paraId="3B65E1D6" w14:textId="77777777" w:rsidR="00076FBA" w:rsidRPr="00076FBA" w:rsidRDefault="00076FBA" w:rsidP="00076FBA">
      <w:pPr>
        <w:autoSpaceDE w:val="0"/>
        <w:autoSpaceDN w:val="0"/>
        <w:adjustRightInd w:val="0"/>
        <w:spacing w:after="120" w:line="276" w:lineRule="auto"/>
        <w:jc w:val="both"/>
        <w:rPr>
          <w:rFonts w:cstheme="minorHAnsi"/>
        </w:rPr>
      </w:pPr>
      <w:r>
        <w:t>a) Nekazaritzako eta abeltzaintzako kooperatibak.</w:t>
      </w:r>
    </w:p>
    <w:p w14:paraId="4E95AE33" w14:textId="77777777" w:rsidR="00076FBA" w:rsidRPr="00076FBA" w:rsidRDefault="00076FBA" w:rsidP="00076FBA">
      <w:pPr>
        <w:autoSpaceDE w:val="0"/>
        <w:autoSpaceDN w:val="0"/>
        <w:adjustRightInd w:val="0"/>
        <w:spacing w:after="120" w:line="276" w:lineRule="auto"/>
        <w:jc w:val="both"/>
        <w:rPr>
          <w:rFonts w:cstheme="minorHAnsi"/>
        </w:rPr>
      </w:pPr>
      <w:r>
        <w:t>b) Baso-entitateak eta artzaintza estentsiboko entitateak.</w:t>
      </w:r>
    </w:p>
    <w:p w14:paraId="5F48C41A" w14:textId="77777777" w:rsidR="00076FBA" w:rsidRPr="00076FBA" w:rsidRDefault="00076FBA" w:rsidP="00076FBA">
      <w:pPr>
        <w:autoSpaceDE w:val="0"/>
        <w:autoSpaceDN w:val="0"/>
        <w:adjustRightInd w:val="0"/>
        <w:spacing w:after="120" w:line="276" w:lineRule="auto"/>
        <w:jc w:val="both"/>
        <w:rPr>
          <w:rFonts w:cstheme="minorHAnsi"/>
        </w:rPr>
      </w:pPr>
      <w:r>
        <w:t>c) Unibertsitateak eta zentro teknologikoak.</w:t>
      </w:r>
    </w:p>
    <w:p w14:paraId="0597F0AA" w14:textId="77777777" w:rsidR="00076FBA" w:rsidRPr="00076FBA" w:rsidRDefault="00076FBA" w:rsidP="00076FBA">
      <w:pPr>
        <w:autoSpaceDE w:val="0"/>
        <w:autoSpaceDN w:val="0"/>
        <w:adjustRightInd w:val="0"/>
        <w:spacing w:after="120" w:line="276" w:lineRule="auto"/>
        <w:jc w:val="both"/>
        <w:rPr>
          <w:rFonts w:cstheme="minorHAnsi"/>
        </w:rPr>
      </w:pPr>
      <w:r>
        <w:t>d) Ingurumen-elkarteak.</w:t>
      </w:r>
    </w:p>
    <w:p w14:paraId="6853575F" w14:textId="4595FC04" w:rsidR="00076FBA" w:rsidRPr="00076FBA" w:rsidRDefault="00076FBA" w:rsidP="00076FBA">
      <w:pPr>
        <w:spacing w:after="120" w:line="276" w:lineRule="auto"/>
        <w:jc w:val="both"/>
        <w:rPr>
          <w:rFonts w:cstheme="minorHAnsi"/>
        </w:rPr>
      </w:pPr>
      <w:r>
        <w:lastRenderedPageBreak/>
        <w:t>e) Foru-administrazioa.</w:t>
      </w:r>
    </w:p>
    <w:p w14:paraId="7527F1A6" w14:textId="5252DBE6" w:rsidR="00076FBA" w:rsidRPr="00076FBA" w:rsidRDefault="00076FBA" w:rsidP="00076FBA">
      <w:pPr>
        <w:autoSpaceDE w:val="0"/>
        <w:autoSpaceDN w:val="0"/>
        <w:adjustRightInd w:val="0"/>
        <w:spacing w:after="120" w:line="276" w:lineRule="auto"/>
        <w:jc w:val="both"/>
        <w:rPr>
          <w:rFonts w:cstheme="minorHAnsi"/>
        </w:rPr>
      </w:pPr>
      <w:r>
        <w:t>2. Kontseiluak txosten ez-lotesleak jaulkiko ditu merkatuaren bilakaerari, proiektuen ingurumen-eraginkortasunari eta pizgarri fiskalen berrikuspenari buruz.</w:t>
      </w:r>
    </w:p>
    <w:p w14:paraId="186E72C1" w14:textId="77777777" w:rsidR="00076FBA" w:rsidRPr="00076FBA" w:rsidRDefault="00076FBA" w:rsidP="00076FBA">
      <w:pPr>
        <w:autoSpaceDE w:val="0"/>
        <w:autoSpaceDN w:val="0"/>
        <w:adjustRightInd w:val="0"/>
        <w:spacing w:after="120" w:line="276" w:lineRule="auto"/>
        <w:jc w:val="both"/>
        <w:rPr>
          <w:rFonts w:cstheme="minorHAnsi"/>
          <w:b/>
          <w:bCs/>
        </w:rPr>
      </w:pPr>
      <w:r>
        <w:rPr>
          <w:b/>
        </w:rPr>
        <w:t>16. artikulua. Txostenak eta kontu-ematea</w:t>
      </w:r>
    </w:p>
    <w:p w14:paraId="751237EF" w14:textId="72AE81BC" w:rsidR="00076FBA" w:rsidRPr="00076FBA" w:rsidRDefault="00076FBA" w:rsidP="00076FBA">
      <w:pPr>
        <w:autoSpaceDE w:val="0"/>
        <w:autoSpaceDN w:val="0"/>
        <w:adjustRightInd w:val="0"/>
        <w:spacing w:after="120" w:line="276" w:lineRule="auto"/>
        <w:jc w:val="both"/>
        <w:rPr>
          <w:rFonts w:cstheme="minorHAnsi"/>
        </w:rPr>
      </w:pPr>
      <w:r>
        <w:t>1. Nafarroako Gobernuak Parlamentuari txosten bat igorriko dio urtero, Foru Erregistroaren funtzionamenduari, sorturiko kredituen kopuruari, haien norakoari eta inskribatutako proiektuen ingurumen- eta gizarte-ebaluazioari buruzkoa.</w:t>
      </w:r>
    </w:p>
    <w:p w14:paraId="227891B4" w14:textId="30FABD89" w:rsidR="00076FBA" w:rsidRPr="00076FBA" w:rsidRDefault="00076FBA" w:rsidP="00076FBA">
      <w:pPr>
        <w:autoSpaceDE w:val="0"/>
        <w:autoSpaceDN w:val="0"/>
        <w:adjustRightInd w:val="0"/>
        <w:spacing w:after="120" w:line="276" w:lineRule="auto"/>
        <w:jc w:val="both"/>
        <w:rPr>
          <w:rFonts w:cstheme="minorHAnsi"/>
        </w:rPr>
      </w:pPr>
      <w:r>
        <w:t>2. Txosten horrek pizgarri fiskalen eta emandako diru-laguntzen balantze bat eta araudi-hobekuntzarako proposamenak jasoko ditu.</w:t>
      </w:r>
    </w:p>
    <w:p w14:paraId="067A5FCA" w14:textId="77777777" w:rsidR="00076FBA" w:rsidRPr="00076FBA" w:rsidRDefault="00076FBA" w:rsidP="00076FBA">
      <w:pPr>
        <w:autoSpaceDE w:val="0"/>
        <w:autoSpaceDN w:val="0"/>
        <w:adjustRightInd w:val="0"/>
        <w:spacing w:after="120" w:line="276" w:lineRule="auto"/>
        <w:jc w:val="both"/>
        <w:rPr>
          <w:rFonts w:cstheme="minorHAnsi"/>
          <w:b/>
          <w:bCs/>
        </w:rPr>
      </w:pPr>
      <w:r>
        <w:rPr>
          <w:b/>
        </w:rPr>
        <w:t>17. artikulua. Auditoretza eta kanpo-kontrola</w:t>
      </w:r>
    </w:p>
    <w:p w14:paraId="2AC27518" w14:textId="51041574" w:rsidR="00076FBA" w:rsidRPr="00076FBA" w:rsidRDefault="00076FBA" w:rsidP="00076FBA">
      <w:pPr>
        <w:autoSpaceDE w:val="0"/>
        <w:autoSpaceDN w:val="0"/>
        <w:adjustRightInd w:val="0"/>
        <w:spacing w:after="120" w:line="276" w:lineRule="auto"/>
        <w:jc w:val="both"/>
        <w:rPr>
          <w:rFonts w:cstheme="minorHAnsi"/>
        </w:rPr>
      </w:pPr>
      <w:r>
        <w:t>1. Foru Erregistroari eta Karbono Kredituen Foru Bulegoari kanpo-auditoretza bat eginen zaie hiru urtean behin, zeinak ebaluatuko baititu kredituen osotasuna, kontabilitate bikoitzik eza eta egiaztatze-prozeduren eraginkortasuna.</w:t>
      </w:r>
    </w:p>
    <w:p w14:paraId="4A877B21" w14:textId="3C57BE59" w:rsidR="00076FBA" w:rsidRPr="00076FBA" w:rsidRDefault="00076FBA" w:rsidP="00076FBA">
      <w:pPr>
        <w:autoSpaceDE w:val="0"/>
        <w:autoSpaceDN w:val="0"/>
        <w:adjustRightInd w:val="0"/>
        <w:spacing w:after="120" w:line="276" w:lineRule="auto"/>
        <w:jc w:val="both"/>
        <w:rPr>
          <w:rFonts w:cstheme="minorHAnsi"/>
        </w:rPr>
      </w:pPr>
      <w:r>
        <w:t>2. Nafarroako Kontuen Ganberak zilegi izanen du finantza- eta kudeaketa-auditoretzak egitea bere eskumenen mugartean.</w:t>
      </w:r>
    </w:p>
    <w:p w14:paraId="61A98E88" w14:textId="57155C08" w:rsidR="00076FBA" w:rsidRPr="00076FBA" w:rsidRDefault="002637DF" w:rsidP="00076FBA">
      <w:pPr>
        <w:autoSpaceDE w:val="0"/>
        <w:autoSpaceDN w:val="0"/>
        <w:adjustRightInd w:val="0"/>
        <w:spacing w:after="120" w:line="276" w:lineRule="auto"/>
        <w:jc w:val="both"/>
        <w:rPr>
          <w:rFonts w:cstheme="minorHAnsi"/>
          <w:b/>
          <w:bCs/>
        </w:rPr>
      </w:pPr>
      <w:r>
        <w:rPr>
          <w:b/>
        </w:rPr>
        <w:t>Xedapen g</w:t>
      </w:r>
      <w:r w:rsidR="00076FBA">
        <w:rPr>
          <w:b/>
        </w:rPr>
        <w:t>ehigarria. Erregelamenduzko garapena</w:t>
      </w:r>
    </w:p>
    <w:p w14:paraId="36DDA1A6" w14:textId="403D2F07" w:rsidR="00076FBA" w:rsidRPr="00076FBA" w:rsidRDefault="00076FBA" w:rsidP="00076FBA">
      <w:pPr>
        <w:autoSpaceDE w:val="0"/>
        <w:autoSpaceDN w:val="0"/>
        <w:adjustRightInd w:val="0"/>
        <w:spacing w:after="120" w:line="276" w:lineRule="auto"/>
        <w:jc w:val="both"/>
        <w:rPr>
          <w:rFonts w:cstheme="minorHAnsi"/>
        </w:rPr>
      </w:pPr>
      <w:r>
        <w:t>Nafarroako Gobernuak gehienez ere 12 hilabeteko epean onetsiko du erregelamenduzko garapena.</w:t>
      </w:r>
    </w:p>
    <w:p w14:paraId="6F8F3186" w14:textId="1617EB23" w:rsidR="00076FBA" w:rsidRPr="00076FBA" w:rsidRDefault="002637DF" w:rsidP="00076FBA">
      <w:pPr>
        <w:autoSpaceDE w:val="0"/>
        <w:autoSpaceDN w:val="0"/>
        <w:adjustRightInd w:val="0"/>
        <w:spacing w:after="120" w:line="276" w:lineRule="auto"/>
        <w:jc w:val="both"/>
        <w:rPr>
          <w:rFonts w:cstheme="minorHAnsi"/>
          <w:b/>
          <w:bCs/>
        </w:rPr>
      </w:pPr>
      <w:r>
        <w:rPr>
          <w:b/>
        </w:rPr>
        <w:t>Xedapen i</w:t>
      </w:r>
      <w:r w:rsidR="00076FBA">
        <w:rPr>
          <w:b/>
        </w:rPr>
        <w:t>ragankorra. Aribideko proiektuak</w:t>
      </w:r>
    </w:p>
    <w:p w14:paraId="37F72433" w14:textId="2CACCEE7" w:rsidR="00076FBA" w:rsidRPr="00076FBA" w:rsidRDefault="00076FBA" w:rsidP="00076FBA">
      <w:pPr>
        <w:autoSpaceDE w:val="0"/>
        <w:autoSpaceDN w:val="0"/>
        <w:adjustRightInd w:val="0"/>
        <w:spacing w:after="120" w:line="276" w:lineRule="auto"/>
        <w:jc w:val="both"/>
        <w:rPr>
          <w:rFonts w:cstheme="minorHAnsi"/>
        </w:rPr>
      </w:pPr>
      <w:r>
        <w:t>Indarraldiaren aurretik hasitako proiektuak 18 hilabeteko epean inskribatu ahalko dira erregistroan.</w:t>
      </w:r>
    </w:p>
    <w:p w14:paraId="3FB7881F" w14:textId="5D9399E9" w:rsidR="00076FBA" w:rsidRPr="00076FBA" w:rsidRDefault="002637DF" w:rsidP="00076FBA">
      <w:pPr>
        <w:autoSpaceDE w:val="0"/>
        <w:autoSpaceDN w:val="0"/>
        <w:adjustRightInd w:val="0"/>
        <w:spacing w:after="120" w:line="276" w:lineRule="auto"/>
        <w:jc w:val="both"/>
        <w:rPr>
          <w:rFonts w:cstheme="minorHAnsi"/>
        </w:rPr>
      </w:pPr>
      <w:r>
        <w:rPr>
          <w:b/>
        </w:rPr>
        <w:t>Xedapen i</w:t>
      </w:r>
      <w:r w:rsidR="00076FBA">
        <w:rPr>
          <w:b/>
        </w:rPr>
        <w:t xml:space="preserve">ndargabetzailea. </w:t>
      </w:r>
      <w:r w:rsidR="00076FBA">
        <w:t>Lege honekin kontraesanean dauden maila bereko edo apalagoko xedapenak indarrik gabe uzten dira.</w:t>
      </w:r>
    </w:p>
    <w:p w14:paraId="7EEDE47A" w14:textId="6F70B8B4" w:rsidR="00076FBA" w:rsidRPr="00076FBA" w:rsidRDefault="00076FBA" w:rsidP="00076FBA">
      <w:pPr>
        <w:autoSpaceDE w:val="0"/>
        <w:autoSpaceDN w:val="0"/>
        <w:adjustRightInd w:val="0"/>
        <w:spacing w:after="120" w:line="276" w:lineRule="auto"/>
        <w:jc w:val="both"/>
        <w:rPr>
          <w:rFonts w:cstheme="minorHAnsi"/>
          <w:b/>
          <w:bCs/>
        </w:rPr>
      </w:pPr>
      <w:r>
        <w:rPr>
          <w:b/>
        </w:rPr>
        <w:t>Azken</w:t>
      </w:r>
      <w:r w:rsidR="009548E0">
        <w:rPr>
          <w:b/>
        </w:rPr>
        <w:t xml:space="preserve"> xedapenetatik lehen</w:t>
      </w:r>
      <w:r>
        <w:rPr>
          <w:b/>
        </w:rPr>
        <w:t>a</w:t>
      </w:r>
      <w:r w:rsidR="009548E0">
        <w:rPr>
          <w:b/>
        </w:rPr>
        <w:t>.</w:t>
      </w:r>
      <w:r>
        <w:rPr>
          <w:b/>
        </w:rPr>
        <w:t xml:space="preserve"> Indar</w:t>
      </w:r>
      <w:r w:rsidR="001030F0">
        <w:rPr>
          <w:b/>
        </w:rPr>
        <w:t xml:space="preserve">ra </w:t>
      </w:r>
      <w:r>
        <w:rPr>
          <w:b/>
        </w:rPr>
        <w:t>hartzea.</w:t>
      </w:r>
    </w:p>
    <w:p w14:paraId="076306A6" w14:textId="77777777" w:rsidR="00076FBA" w:rsidRPr="00076FBA" w:rsidRDefault="00076FBA" w:rsidP="00076FBA">
      <w:pPr>
        <w:autoSpaceDE w:val="0"/>
        <w:autoSpaceDN w:val="0"/>
        <w:adjustRightInd w:val="0"/>
        <w:spacing w:after="120" w:line="276" w:lineRule="auto"/>
        <w:jc w:val="both"/>
        <w:rPr>
          <w:rFonts w:cstheme="minorHAnsi"/>
        </w:rPr>
      </w:pPr>
      <w:r>
        <w:t>Nafarroako Aldizkari Ofizialean argitaratua izan eta biharamunean.</w:t>
      </w:r>
    </w:p>
    <w:p w14:paraId="25F20CEE" w14:textId="642EA609" w:rsidR="00076FBA" w:rsidRPr="00076FBA" w:rsidRDefault="00076FBA" w:rsidP="00076FBA">
      <w:pPr>
        <w:spacing w:after="120" w:line="276" w:lineRule="auto"/>
        <w:jc w:val="both"/>
        <w:rPr>
          <w:rFonts w:cstheme="minorHAnsi"/>
        </w:rPr>
      </w:pPr>
      <w:r>
        <w:rPr>
          <w:b/>
        </w:rPr>
        <w:t>Azken xedapenetatik bigarrena</w:t>
      </w:r>
      <w:r w:rsidR="009548E0">
        <w:rPr>
          <w:b/>
        </w:rPr>
        <w:t>.</w:t>
      </w:r>
      <w:r>
        <w:t xml:space="preserve"> Nafarroako Gobernuak lege honen aplikazioari buruzko oroitidazki ekonomiko bat aurkeztuko du 6 hilabeteko epean.</w:t>
      </w:r>
    </w:p>
    <w:sectPr w:rsidR="00076FBA" w:rsidRPr="00076F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6F"/>
    <w:rsid w:val="00076FBA"/>
    <w:rsid w:val="000B7C99"/>
    <w:rsid w:val="001030F0"/>
    <w:rsid w:val="0019076F"/>
    <w:rsid w:val="002637DF"/>
    <w:rsid w:val="00665039"/>
    <w:rsid w:val="00750AAB"/>
    <w:rsid w:val="00903CC3"/>
    <w:rsid w:val="009548E0"/>
    <w:rsid w:val="00BB62A3"/>
    <w:rsid w:val="00C27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B421"/>
  <w15:chartTrackingRefBased/>
  <w15:docId w15:val="{19C54440-7A1D-44AA-91B7-71AEA268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1702</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7</cp:revision>
  <dcterms:created xsi:type="dcterms:W3CDTF">2025-10-09T11:06:00Z</dcterms:created>
  <dcterms:modified xsi:type="dcterms:W3CDTF">2025-10-13T10:51:00Z</dcterms:modified>
</cp:coreProperties>
</file>