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9C83E" w14:textId="3E388907" w:rsidR="00C365DE" w:rsidRPr="00C365DE" w:rsidRDefault="00C365DE" w:rsidP="00C365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365DE">
        <w:rPr>
          <w:rFonts w:cstheme="minorHAnsi"/>
        </w:rPr>
        <w:t xml:space="preserve">La </w:t>
      </w:r>
      <w:proofErr w:type="gramStart"/>
      <w:r w:rsidRPr="00C365DE">
        <w:rPr>
          <w:rFonts w:cstheme="minorHAnsi"/>
        </w:rPr>
        <w:t>Consejera</w:t>
      </w:r>
      <w:proofErr w:type="gramEnd"/>
      <w:r w:rsidRPr="00C365DE">
        <w:rPr>
          <w:rFonts w:cstheme="minorHAnsi"/>
        </w:rPr>
        <w:t xml:space="preserve"> de Vivienda, Juventud y Políticas Migratorias del Gobierno de Navarra, en relación con la </w:t>
      </w:r>
      <w:r w:rsidR="002762BD" w:rsidRPr="00C365DE">
        <w:rPr>
          <w:rFonts w:cstheme="minorHAnsi"/>
        </w:rPr>
        <w:t xml:space="preserve">pregunta escrita </w:t>
      </w:r>
      <w:r w:rsidRPr="00C365DE">
        <w:rPr>
          <w:rFonts w:cstheme="minorHAnsi"/>
        </w:rPr>
        <w:t>(11-25/PES-00346), formulada por el Parlamentario Foral D</w:t>
      </w:r>
      <w:r w:rsidR="00D96AB4">
        <w:rPr>
          <w:rFonts w:cstheme="minorHAnsi"/>
        </w:rPr>
        <w:t>.</w:t>
      </w:r>
      <w:r w:rsidRPr="00C365DE">
        <w:rPr>
          <w:rFonts w:cstheme="minorHAnsi"/>
        </w:rPr>
        <w:t xml:space="preserve"> Mikel Zabaleta Aramendia (G.P. EH Bildu Nafarroa),</w:t>
      </w:r>
      <w:r w:rsidR="002762BD">
        <w:rPr>
          <w:rFonts w:cstheme="minorHAnsi"/>
        </w:rPr>
        <w:t xml:space="preserve"> </w:t>
      </w:r>
      <w:r w:rsidRPr="00C365DE">
        <w:rPr>
          <w:rFonts w:cstheme="minorHAnsi"/>
        </w:rPr>
        <w:t>informa de lo siguiente:</w:t>
      </w:r>
    </w:p>
    <w:p w14:paraId="03AA5A54" w14:textId="6C95A795" w:rsidR="00752359" w:rsidRPr="00C365DE" w:rsidRDefault="00C365DE" w:rsidP="00C365DE">
      <w:pPr>
        <w:spacing w:after="120" w:line="276" w:lineRule="auto"/>
        <w:jc w:val="both"/>
        <w:rPr>
          <w:rFonts w:cstheme="minorHAnsi"/>
        </w:rPr>
      </w:pPr>
      <w:r w:rsidRPr="00C365DE">
        <w:rPr>
          <w:rFonts w:cstheme="minorHAnsi"/>
        </w:rPr>
        <w:t>Desde la puesta en marcha de la Bolsa de Alquiler en 2006 hasta el 30/09/2025</w:t>
      </w:r>
      <w:r>
        <w:rPr>
          <w:rFonts w:cstheme="minorHAnsi"/>
        </w:rPr>
        <w:t xml:space="preserve"> </w:t>
      </w:r>
      <w:r w:rsidRPr="00C365DE">
        <w:rPr>
          <w:rFonts w:cstheme="minorHAnsi"/>
        </w:rPr>
        <w:t xml:space="preserve">la sociedad pública </w:t>
      </w:r>
      <w:proofErr w:type="spellStart"/>
      <w:r w:rsidRPr="00C365DE">
        <w:rPr>
          <w:rFonts w:cstheme="minorHAnsi"/>
        </w:rPr>
        <w:t>Nasuvinsa</w:t>
      </w:r>
      <w:proofErr w:type="spellEnd"/>
      <w:r w:rsidRPr="00C365DE">
        <w:rPr>
          <w:rFonts w:cstheme="minorHAnsi"/>
        </w:rPr>
        <w:t xml:space="preserve"> ha gestionado un total de 1.427 viviendas cedidas por</w:t>
      </w:r>
      <w:r>
        <w:rPr>
          <w:rFonts w:cstheme="minorHAnsi"/>
        </w:rPr>
        <w:t xml:space="preserve"> </w:t>
      </w:r>
      <w:r w:rsidRPr="00C365DE">
        <w:rPr>
          <w:rFonts w:cstheme="minorHAnsi"/>
        </w:rPr>
        <w:t>personas particulares al citado programa del Gobierno de Navarra, que tiene como</w:t>
      </w:r>
      <w:r>
        <w:rPr>
          <w:rFonts w:cstheme="minorHAnsi"/>
        </w:rPr>
        <w:t xml:space="preserve"> </w:t>
      </w:r>
      <w:r w:rsidRPr="00C365DE">
        <w:rPr>
          <w:rFonts w:cstheme="minorHAnsi"/>
        </w:rPr>
        <w:t>objetivo incrementar la oferta pública de vivienda asequible.</w:t>
      </w:r>
    </w:p>
    <w:p w14:paraId="244449D5" w14:textId="0D02AD6B" w:rsidR="00C365DE" w:rsidRPr="00C365DE" w:rsidRDefault="00C365DE" w:rsidP="00C365DE">
      <w:pPr>
        <w:spacing w:after="120" w:line="276" w:lineRule="auto"/>
        <w:jc w:val="both"/>
        <w:rPr>
          <w:rFonts w:cstheme="minorHAnsi"/>
        </w:rPr>
      </w:pPr>
      <w:r w:rsidRPr="00C365DE">
        <w:rPr>
          <w:rFonts w:cstheme="minorHAnsi"/>
        </w:rPr>
        <w:t>El desglose por vivienda atendiendo al estado de los contratos es el siguiente:</w:t>
      </w:r>
    </w:p>
    <w:p w14:paraId="4363210E" w14:textId="77777777" w:rsidR="00C365DE" w:rsidRPr="00C365DE" w:rsidRDefault="00C365DE" w:rsidP="00C365DE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5"/>
          <w:szCs w:val="5"/>
        </w:rPr>
      </w:pPr>
    </w:p>
    <w:tbl>
      <w:tblPr>
        <w:tblW w:w="0" w:type="auto"/>
        <w:tblInd w:w="3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1"/>
        <w:gridCol w:w="1760"/>
        <w:gridCol w:w="1182"/>
      </w:tblGrid>
      <w:tr w:rsidR="00C365DE" w:rsidRPr="00C365DE" w14:paraId="6AE4D400" w14:textId="77777777" w:rsidTr="00C365DE">
        <w:trPr>
          <w:trHeight w:hRule="exact" w:val="300"/>
        </w:trPr>
        <w:tc>
          <w:tcPr>
            <w:tcW w:w="4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E3D5"/>
          </w:tcPr>
          <w:p w14:paraId="4CF7E463" w14:textId="77777777" w:rsidR="00C365DE" w:rsidRPr="00C365DE" w:rsidRDefault="00C365DE" w:rsidP="00C36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FBE3D5"/>
          </w:tcPr>
          <w:p w14:paraId="5D017CAF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 w:rsidRPr="00C365DE">
              <w:rPr>
                <w:rFonts w:ascii="Calibri" w:hAnsi="Calibri" w:cs="Calibri"/>
                <w:sz w:val="20"/>
                <w:szCs w:val="20"/>
              </w:rPr>
              <w:t>VIVIENDAS</w:t>
            </w:r>
          </w:p>
        </w:tc>
        <w:tc>
          <w:tcPr>
            <w:tcW w:w="118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FBE3D5"/>
          </w:tcPr>
          <w:p w14:paraId="1D1933CC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5DE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  <w:tr w:rsidR="00C365DE" w:rsidRPr="00C365DE" w14:paraId="5A4D6201" w14:textId="77777777" w:rsidTr="00C365DE">
        <w:trPr>
          <w:trHeight w:hRule="exact" w:val="500"/>
        </w:trPr>
        <w:tc>
          <w:tcPr>
            <w:tcW w:w="4621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7A5FB5C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8DFE5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DE">
              <w:rPr>
                <w:rFonts w:ascii="Calibri" w:hAnsi="Calibri" w:cs="Calibri"/>
                <w:sz w:val="20"/>
                <w:szCs w:val="20"/>
              </w:rPr>
              <w:t>Viviendas</w:t>
            </w:r>
            <w:r w:rsidRPr="00C365DE">
              <w:rPr>
                <w:rFonts w:ascii="Calibri" w:hAnsi="Calibri" w:cs="Calibri"/>
                <w:spacing w:val="10"/>
                <w:sz w:val="20"/>
                <w:szCs w:val="20"/>
              </w:rPr>
              <w:t xml:space="preserve"> </w:t>
            </w:r>
            <w:r w:rsidRPr="00C365DE">
              <w:rPr>
                <w:rFonts w:ascii="Calibri" w:hAnsi="Calibri" w:cs="Calibri"/>
                <w:spacing w:val="-1"/>
                <w:sz w:val="20"/>
                <w:szCs w:val="20"/>
              </w:rPr>
              <w:t>que</w:t>
            </w:r>
            <w:r w:rsidRPr="00C365DE">
              <w:rPr>
                <w:rFonts w:ascii="Calibri" w:hAnsi="Calibri" w:cs="Calibri"/>
                <w:spacing w:val="15"/>
                <w:sz w:val="20"/>
                <w:szCs w:val="20"/>
              </w:rPr>
              <w:t xml:space="preserve"> </w:t>
            </w:r>
            <w:r w:rsidRPr="00C365DE">
              <w:rPr>
                <w:rFonts w:ascii="Calibri" w:hAnsi="Calibri" w:cs="Calibri"/>
                <w:spacing w:val="-1"/>
                <w:sz w:val="20"/>
                <w:szCs w:val="20"/>
              </w:rPr>
              <w:t>renovaron</w:t>
            </w:r>
            <w:r w:rsidRPr="00C365DE"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 w:rsidRPr="00C365DE">
              <w:rPr>
                <w:rFonts w:ascii="Calibri" w:hAnsi="Calibri" w:cs="Calibri"/>
                <w:sz w:val="20"/>
                <w:szCs w:val="20"/>
              </w:rPr>
              <w:t>tras</w:t>
            </w:r>
            <w:r w:rsidRPr="00C365DE">
              <w:rPr>
                <w:rFonts w:ascii="Calibri" w:hAnsi="Calibri" w:cs="Calibri"/>
                <w:spacing w:val="12"/>
                <w:sz w:val="20"/>
                <w:szCs w:val="20"/>
              </w:rPr>
              <w:t xml:space="preserve"> </w:t>
            </w:r>
            <w:r w:rsidRPr="00C365DE">
              <w:rPr>
                <w:rFonts w:ascii="Calibri" w:hAnsi="Calibri" w:cs="Calibri"/>
                <w:sz w:val="20"/>
                <w:szCs w:val="20"/>
              </w:rPr>
              <w:t>el</w:t>
            </w:r>
            <w:r w:rsidRPr="00C365DE">
              <w:rPr>
                <w:rFonts w:ascii="Calibri" w:hAnsi="Calibri" w:cs="Calibri"/>
                <w:spacing w:val="12"/>
                <w:sz w:val="20"/>
                <w:szCs w:val="20"/>
              </w:rPr>
              <w:t xml:space="preserve"> </w:t>
            </w:r>
            <w:r w:rsidRPr="00C365DE">
              <w:rPr>
                <w:rFonts w:ascii="Calibri" w:hAnsi="Calibri" w:cs="Calibri"/>
                <w:sz w:val="20"/>
                <w:szCs w:val="20"/>
              </w:rPr>
              <w:t>primer</w:t>
            </w:r>
            <w:r w:rsidRPr="00C365DE">
              <w:rPr>
                <w:rFonts w:ascii="Calibri" w:hAnsi="Calibri" w:cs="Calibri"/>
                <w:spacing w:val="12"/>
                <w:sz w:val="20"/>
                <w:szCs w:val="20"/>
              </w:rPr>
              <w:t xml:space="preserve"> </w:t>
            </w:r>
            <w:r w:rsidRPr="00C365DE">
              <w:rPr>
                <w:rFonts w:ascii="Calibri" w:hAnsi="Calibri" w:cs="Calibri"/>
                <w:spacing w:val="-1"/>
                <w:sz w:val="20"/>
                <w:szCs w:val="20"/>
              </w:rPr>
              <w:t>contrato</w:t>
            </w:r>
          </w:p>
        </w:tc>
        <w:tc>
          <w:tcPr>
            <w:tcW w:w="1760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1AA24E7A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96294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65DE">
              <w:rPr>
                <w:rFonts w:ascii="Calibri" w:hAnsi="Calibri" w:cs="Calibri"/>
                <w:sz w:val="20"/>
                <w:szCs w:val="20"/>
              </w:rPr>
              <w:t>699</w:t>
            </w:r>
          </w:p>
        </w:tc>
        <w:tc>
          <w:tcPr>
            <w:tcW w:w="118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B3D1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A098D" w14:textId="1F987E86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C365DE">
              <w:rPr>
                <w:rFonts w:ascii="Calibri" w:hAnsi="Calibri" w:cs="Calibri"/>
                <w:sz w:val="20"/>
                <w:szCs w:val="20"/>
              </w:rPr>
              <w:t>77,1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365DE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  <w:tr w:rsidR="00C365DE" w:rsidRPr="00C365DE" w14:paraId="2C054CD9" w14:textId="77777777" w:rsidTr="00C365DE">
        <w:trPr>
          <w:trHeight w:hRule="exact" w:val="383"/>
        </w:trPr>
        <w:tc>
          <w:tcPr>
            <w:tcW w:w="46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65B5AB49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127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DE">
              <w:rPr>
                <w:rFonts w:ascii="Calibri" w:hAnsi="Calibri" w:cs="Calibri"/>
                <w:sz w:val="20"/>
                <w:szCs w:val="20"/>
              </w:rPr>
              <w:t>Viviendas</w:t>
            </w:r>
            <w:r w:rsidRPr="00C365DE">
              <w:rPr>
                <w:rFonts w:ascii="Calibri" w:hAnsi="Calibri" w:cs="Calibri"/>
                <w:spacing w:val="9"/>
                <w:sz w:val="20"/>
                <w:szCs w:val="20"/>
              </w:rPr>
              <w:t xml:space="preserve"> </w:t>
            </w:r>
            <w:r w:rsidRPr="00C365DE">
              <w:rPr>
                <w:rFonts w:ascii="Calibri" w:hAnsi="Calibri" w:cs="Calibri"/>
                <w:spacing w:val="-1"/>
                <w:sz w:val="20"/>
                <w:szCs w:val="20"/>
              </w:rPr>
              <w:t>que</w:t>
            </w:r>
            <w:r w:rsidRPr="00C365DE">
              <w:rPr>
                <w:rFonts w:ascii="Calibri" w:hAnsi="Calibri" w:cs="Calibri"/>
                <w:spacing w:val="11"/>
                <w:sz w:val="20"/>
                <w:szCs w:val="20"/>
              </w:rPr>
              <w:t xml:space="preserve"> </w:t>
            </w:r>
            <w:r w:rsidRPr="00C365DE">
              <w:rPr>
                <w:rFonts w:ascii="Calibri" w:hAnsi="Calibri" w:cs="Calibri"/>
                <w:sz w:val="20"/>
                <w:szCs w:val="20"/>
              </w:rPr>
              <w:t>no</w:t>
            </w:r>
            <w:r w:rsidRPr="00C365DE"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 w:rsidRPr="00C365DE">
              <w:rPr>
                <w:rFonts w:ascii="Calibri" w:hAnsi="Calibri" w:cs="Calibri"/>
                <w:spacing w:val="-1"/>
                <w:sz w:val="20"/>
                <w:szCs w:val="20"/>
              </w:rPr>
              <w:t>renovaron</w:t>
            </w:r>
            <w:r w:rsidRPr="00C365DE">
              <w:rPr>
                <w:rFonts w:ascii="Calibri" w:hAnsi="Calibri" w:cs="Calibri"/>
                <w:spacing w:val="11"/>
                <w:sz w:val="20"/>
                <w:szCs w:val="20"/>
              </w:rPr>
              <w:t xml:space="preserve"> </w:t>
            </w:r>
            <w:r w:rsidRPr="00C365DE">
              <w:rPr>
                <w:rFonts w:ascii="Calibri" w:hAnsi="Calibri" w:cs="Calibri"/>
                <w:sz w:val="20"/>
                <w:szCs w:val="20"/>
              </w:rPr>
              <w:t>tras</w:t>
            </w:r>
            <w:r w:rsidRPr="00C365DE">
              <w:rPr>
                <w:rFonts w:ascii="Calibri" w:hAnsi="Calibri" w:cs="Calibri"/>
                <w:spacing w:val="12"/>
                <w:sz w:val="20"/>
                <w:szCs w:val="20"/>
              </w:rPr>
              <w:t xml:space="preserve"> </w:t>
            </w:r>
            <w:r w:rsidRPr="00C365DE">
              <w:rPr>
                <w:rFonts w:ascii="Calibri" w:hAnsi="Calibri" w:cs="Calibri"/>
                <w:spacing w:val="-1"/>
                <w:sz w:val="20"/>
                <w:szCs w:val="20"/>
              </w:rPr>
              <w:t>el</w:t>
            </w:r>
            <w:r w:rsidRPr="00C365DE">
              <w:rPr>
                <w:rFonts w:ascii="Calibri" w:hAnsi="Calibri" w:cs="Calibri"/>
                <w:spacing w:val="14"/>
                <w:sz w:val="20"/>
                <w:szCs w:val="20"/>
              </w:rPr>
              <w:t xml:space="preserve"> </w:t>
            </w:r>
            <w:r w:rsidRPr="00C365DE">
              <w:rPr>
                <w:rFonts w:ascii="Calibri" w:hAnsi="Calibri" w:cs="Calibri"/>
                <w:spacing w:val="-1"/>
                <w:sz w:val="20"/>
                <w:szCs w:val="20"/>
              </w:rPr>
              <w:t>primer</w:t>
            </w:r>
            <w:r w:rsidRPr="00C365DE">
              <w:rPr>
                <w:rFonts w:ascii="Calibri" w:hAnsi="Calibri" w:cs="Calibri"/>
                <w:spacing w:val="13"/>
                <w:sz w:val="20"/>
                <w:szCs w:val="20"/>
              </w:rPr>
              <w:t xml:space="preserve"> </w:t>
            </w:r>
            <w:r w:rsidRPr="00C365DE">
              <w:rPr>
                <w:rFonts w:ascii="Calibri" w:hAnsi="Calibri" w:cs="Calibri"/>
                <w:spacing w:val="-1"/>
                <w:sz w:val="20"/>
                <w:szCs w:val="20"/>
              </w:rPr>
              <w:t>contrato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0578F114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127" w:after="0" w:line="240" w:lineRule="auto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65DE">
              <w:rPr>
                <w:rFonts w:ascii="Calibri" w:hAnsi="Calibri" w:cs="Calibri"/>
                <w:sz w:val="20"/>
                <w:szCs w:val="20"/>
              </w:rPr>
              <w:t>207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52C7" w14:textId="383A94C0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127" w:after="0" w:line="240" w:lineRule="auto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C365DE">
              <w:rPr>
                <w:rFonts w:ascii="Calibri" w:hAnsi="Calibri" w:cs="Calibri"/>
                <w:sz w:val="20"/>
                <w:szCs w:val="20"/>
              </w:rPr>
              <w:t>22,9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365DE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  <w:tr w:rsidR="00C365DE" w:rsidRPr="00C365DE" w14:paraId="0461E225" w14:textId="77777777" w:rsidTr="00C365DE">
        <w:trPr>
          <w:trHeight w:hRule="exact" w:val="259"/>
        </w:trPr>
        <w:tc>
          <w:tcPr>
            <w:tcW w:w="462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shd w:val="clear" w:color="auto" w:fill="DDD9C3"/>
          </w:tcPr>
          <w:p w14:paraId="6261EF48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65DE">
              <w:rPr>
                <w:rFonts w:ascii="Calibri" w:hAnsi="Calibri" w:cs="Calibri"/>
                <w:spacing w:val="-1"/>
                <w:sz w:val="20"/>
                <w:szCs w:val="20"/>
              </w:rPr>
              <w:t>TOTAL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2257DD0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65DE">
              <w:rPr>
                <w:rFonts w:ascii="Calibri" w:hAnsi="Calibri" w:cs="Calibri"/>
                <w:sz w:val="20"/>
                <w:szCs w:val="20"/>
              </w:rPr>
              <w:t>906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3587A8A" w14:textId="3A695AD3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DE">
              <w:rPr>
                <w:rFonts w:ascii="Calibri" w:hAnsi="Calibri" w:cs="Calibri"/>
                <w:sz w:val="20"/>
                <w:szCs w:val="20"/>
              </w:rPr>
              <w:t>100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365DE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  <w:tr w:rsidR="00C365DE" w:rsidRPr="00C365DE" w14:paraId="79062546" w14:textId="77777777" w:rsidTr="00C365DE">
        <w:trPr>
          <w:trHeight w:hRule="exact" w:val="386"/>
        </w:trPr>
        <w:tc>
          <w:tcPr>
            <w:tcW w:w="4621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2D4908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126" w:after="0" w:line="240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DE">
              <w:rPr>
                <w:rFonts w:ascii="Calibri" w:hAnsi="Calibri" w:cs="Calibri"/>
                <w:sz w:val="20"/>
                <w:szCs w:val="20"/>
              </w:rPr>
              <w:t>Viviendas</w:t>
            </w:r>
            <w:r w:rsidRPr="00C365DE">
              <w:rPr>
                <w:rFonts w:ascii="Calibri" w:hAnsi="Calibri" w:cs="Calibri"/>
                <w:spacing w:val="10"/>
                <w:sz w:val="20"/>
                <w:szCs w:val="20"/>
              </w:rPr>
              <w:t xml:space="preserve"> </w:t>
            </w:r>
            <w:r w:rsidRPr="00C365DE">
              <w:rPr>
                <w:rFonts w:ascii="Calibri" w:hAnsi="Calibri" w:cs="Calibri"/>
                <w:spacing w:val="-1"/>
                <w:sz w:val="20"/>
                <w:szCs w:val="20"/>
              </w:rPr>
              <w:t>que</w:t>
            </w:r>
            <w:r w:rsidRPr="00C365DE">
              <w:rPr>
                <w:rFonts w:ascii="Calibri" w:hAnsi="Calibri" w:cs="Calibri"/>
                <w:spacing w:val="10"/>
                <w:sz w:val="20"/>
                <w:szCs w:val="20"/>
              </w:rPr>
              <w:t xml:space="preserve"> </w:t>
            </w:r>
            <w:r w:rsidRPr="00C365DE">
              <w:rPr>
                <w:rFonts w:ascii="Calibri" w:hAnsi="Calibri" w:cs="Calibri"/>
                <w:spacing w:val="-1"/>
                <w:sz w:val="20"/>
                <w:szCs w:val="20"/>
              </w:rPr>
              <w:t>tienen</w:t>
            </w:r>
            <w:r w:rsidRPr="00C365DE">
              <w:rPr>
                <w:rFonts w:ascii="Calibri" w:hAnsi="Calibri" w:cs="Calibri"/>
                <w:spacing w:val="12"/>
                <w:sz w:val="20"/>
                <w:szCs w:val="20"/>
              </w:rPr>
              <w:t xml:space="preserve"> </w:t>
            </w:r>
            <w:r w:rsidRPr="00C365DE">
              <w:rPr>
                <w:rFonts w:ascii="Calibri" w:hAnsi="Calibri" w:cs="Calibri"/>
                <w:sz w:val="20"/>
                <w:szCs w:val="20"/>
              </w:rPr>
              <w:t>en</w:t>
            </w:r>
            <w:r w:rsidRPr="00C365DE">
              <w:rPr>
                <w:rFonts w:ascii="Calibri" w:hAnsi="Calibri" w:cs="Calibri"/>
                <w:spacing w:val="9"/>
                <w:sz w:val="20"/>
                <w:szCs w:val="20"/>
              </w:rPr>
              <w:t xml:space="preserve"> </w:t>
            </w:r>
            <w:r w:rsidRPr="00C365DE">
              <w:rPr>
                <w:rFonts w:ascii="Calibri" w:hAnsi="Calibri" w:cs="Calibri"/>
                <w:spacing w:val="-1"/>
                <w:sz w:val="20"/>
                <w:szCs w:val="20"/>
              </w:rPr>
              <w:t>vigor</w:t>
            </w:r>
            <w:r w:rsidRPr="00C365DE">
              <w:rPr>
                <w:rFonts w:ascii="Calibri" w:hAnsi="Calibri" w:cs="Calibri"/>
                <w:spacing w:val="15"/>
                <w:sz w:val="20"/>
                <w:szCs w:val="20"/>
              </w:rPr>
              <w:t xml:space="preserve"> </w:t>
            </w:r>
            <w:r w:rsidRPr="00C365DE">
              <w:rPr>
                <w:rFonts w:ascii="Calibri" w:hAnsi="Calibri" w:cs="Calibri"/>
                <w:spacing w:val="-1"/>
                <w:sz w:val="20"/>
                <w:szCs w:val="20"/>
              </w:rPr>
              <w:t>su</w:t>
            </w:r>
            <w:r w:rsidRPr="00C365DE">
              <w:rPr>
                <w:rFonts w:ascii="Calibri" w:hAnsi="Calibri" w:cs="Calibri"/>
                <w:spacing w:val="10"/>
                <w:sz w:val="20"/>
                <w:szCs w:val="20"/>
              </w:rPr>
              <w:t xml:space="preserve"> </w:t>
            </w:r>
            <w:r w:rsidRPr="00C365DE">
              <w:rPr>
                <w:rFonts w:ascii="Calibri" w:hAnsi="Calibri" w:cs="Calibri"/>
                <w:sz w:val="20"/>
                <w:szCs w:val="20"/>
              </w:rPr>
              <w:t>primer</w:t>
            </w:r>
            <w:r w:rsidRPr="00C365DE">
              <w:rPr>
                <w:rFonts w:ascii="Calibri" w:hAnsi="Calibri" w:cs="Calibri"/>
                <w:spacing w:val="11"/>
                <w:sz w:val="20"/>
                <w:szCs w:val="20"/>
              </w:rPr>
              <w:t xml:space="preserve"> </w:t>
            </w:r>
            <w:r w:rsidRPr="00C365DE">
              <w:rPr>
                <w:rFonts w:ascii="Calibri" w:hAnsi="Calibri" w:cs="Calibri"/>
                <w:spacing w:val="-1"/>
                <w:sz w:val="20"/>
                <w:szCs w:val="20"/>
              </w:rPr>
              <w:t>contrato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 w14:paraId="76579C75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126" w:after="0" w:line="240" w:lineRule="auto"/>
              <w:ind w:right="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65DE">
              <w:rPr>
                <w:rFonts w:ascii="Calibri" w:hAnsi="Calibri" w:cs="Calibri"/>
                <w:sz w:val="20"/>
                <w:szCs w:val="20"/>
              </w:rPr>
              <w:t>521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A1A2B91" w14:textId="77777777" w:rsidR="00C365DE" w:rsidRPr="00C365DE" w:rsidRDefault="00C365DE" w:rsidP="00C36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DE" w:rsidRPr="00C365DE" w14:paraId="1441813A" w14:textId="77777777" w:rsidTr="00C365DE">
        <w:trPr>
          <w:trHeight w:hRule="exact" w:val="404"/>
        </w:trPr>
        <w:tc>
          <w:tcPr>
            <w:tcW w:w="4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BD0F932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139" w:after="0" w:line="240" w:lineRule="auto"/>
              <w:ind w:left="1884"/>
              <w:rPr>
                <w:rFonts w:ascii="Times New Roman" w:hAnsi="Times New Roman" w:cs="Times New Roman"/>
                <w:sz w:val="24"/>
                <w:szCs w:val="24"/>
              </w:rPr>
            </w:pPr>
            <w:r w:rsidRPr="00C365DE">
              <w:rPr>
                <w:rFonts w:ascii="Calibri" w:hAnsi="Calibri" w:cs="Calibri"/>
                <w:spacing w:val="-1"/>
                <w:sz w:val="20"/>
                <w:szCs w:val="20"/>
              </w:rPr>
              <w:t>TOTA</w:t>
            </w:r>
            <w:r w:rsidRPr="00C365DE">
              <w:rPr>
                <w:rFonts w:ascii="Calibri" w:hAnsi="Calibri" w:cs="Calibri"/>
                <w:spacing w:val="27"/>
                <w:sz w:val="20"/>
                <w:szCs w:val="20"/>
              </w:rPr>
              <w:t xml:space="preserve"> </w:t>
            </w:r>
            <w:r w:rsidRPr="00C365DE">
              <w:rPr>
                <w:rFonts w:ascii="Calibri" w:hAnsi="Calibri" w:cs="Calibri"/>
                <w:spacing w:val="-1"/>
                <w:sz w:val="20"/>
                <w:szCs w:val="20"/>
              </w:rPr>
              <w:t>VIVIENDAS</w:t>
            </w:r>
            <w:r w:rsidRPr="00C365DE">
              <w:rPr>
                <w:rFonts w:ascii="Calibri" w:hAnsi="Calibri" w:cs="Calibri"/>
                <w:spacing w:val="25"/>
                <w:sz w:val="20"/>
                <w:szCs w:val="20"/>
              </w:rPr>
              <w:t xml:space="preserve"> </w:t>
            </w:r>
            <w:r w:rsidRPr="00C365DE">
              <w:rPr>
                <w:rFonts w:ascii="Calibri" w:hAnsi="Calibri" w:cs="Calibri"/>
                <w:spacing w:val="-1"/>
                <w:sz w:val="20"/>
                <w:szCs w:val="20"/>
              </w:rPr>
              <w:t>GESTIONADAS</w:t>
            </w:r>
          </w:p>
        </w:tc>
        <w:tc>
          <w:tcPr>
            <w:tcW w:w="1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D9D9D9"/>
          </w:tcPr>
          <w:p w14:paraId="1AF4DC4B" w14:textId="77777777" w:rsidR="00C365DE" w:rsidRPr="00C365DE" w:rsidRDefault="00C365DE" w:rsidP="00C365DE">
            <w:pPr>
              <w:kinsoku w:val="0"/>
              <w:overflowPunct w:val="0"/>
              <w:autoSpaceDE w:val="0"/>
              <w:autoSpaceDN w:val="0"/>
              <w:adjustRightInd w:val="0"/>
              <w:spacing w:before="139" w:after="0" w:line="240" w:lineRule="auto"/>
              <w:ind w:right="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65DE">
              <w:rPr>
                <w:rFonts w:ascii="Calibri" w:hAnsi="Calibri" w:cs="Calibri"/>
                <w:sz w:val="20"/>
                <w:szCs w:val="20"/>
              </w:rPr>
              <w:t>1.427</w:t>
            </w:r>
          </w:p>
        </w:tc>
        <w:tc>
          <w:tcPr>
            <w:tcW w:w="118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shd w:val="clear" w:color="auto" w:fill="D9D9D9"/>
          </w:tcPr>
          <w:p w14:paraId="3EB3D6BA" w14:textId="77777777" w:rsidR="00C365DE" w:rsidRPr="00C365DE" w:rsidRDefault="00C365DE" w:rsidP="00C36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9A7762" w14:textId="77777777" w:rsidR="00C365DE" w:rsidRDefault="00C365DE" w:rsidP="00C365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</w:p>
    <w:p w14:paraId="048B4336" w14:textId="18D4883D" w:rsidR="00C365DE" w:rsidRPr="00C365DE" w:rsidRDefault="00C365DE" w:rsidP="00C365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365DE">
        <w:rPr>
          <w:rFonts w:cstheme="minorHAnsi"/>
        </w:rPr>
        <w:t>Estos datos nos permiten concluir que, de las 906 viviendas que vieron</w:t>
      </w:r>
      <w:r>
        <w:rPr>
          <w:rFonts w:cstheme="minorHAnsi"/>
        </w:rPr>
        <w:t xml:space="preserve"> </w:t>
      </w:r>
      <w:r w:rsidRPr="00C365DE">
        <w:rPr>
          <w:rFonts w:cstheme="minorHAnsi"/>
        </w:rPr>
        <w:t>finalizado su primer contrato, un total de 699 continuaron cedidas a la Bolsa de</w:t>
      </w:r>
      <w:r>
        <w:rPr>
          <w:rFonts w:cstheme="minorHAnsi"/>
        </w:rPr>
        <w:t xml:space="preserve"> </w:t>
      </w:r>
      <w:r w:rsidRPr="00C365DE">
        <w:rPr>
          <w:rFonts w:cstheme="minorHAnsi"/>
        </w:rPr>
        <w:t>Alquiler, lo que representa porcentualmente el 77,1</w:t>
      </w:r>
      <w:r>
        <w:rPr>
          <w:rFonts w:cstheme="minorHAnsi"/>
        </w:rPr>
        <w:t xml:space="preserve"> </w:t>
      </w:r>
      <w:r w:rsidRPr="00C365DE">
        <w:rPr>
          <w:rFonts w:cstheme="minorHAnsi"/>
        </w:rPr>
        <w:t>%, es decir, cerca de 8 de cada 10</w:t>
      </w:r>
      <w:r>
        <w:rPr>
          <w:rFonts w:cstheme="minorHAnsi"/>
        </w:rPr>
        <w:t xml:space="preserve"> </w:t>
      </w:r>
      <w:r w:rsidRPr="00C365DE">
        <w:rPr>
          <w:rFonts w:cstheme="minorHAnsi"/>
        </w:rPr>
        <w:t>viviendas. Las personas propietarias de estas 699 viviendas han renovado su</w:t>
      </w:r>
      <w:r>
        <w:rPr>
          <w:rFonts w:cstheme="minorHAnsi"/>
        </w:rPr>
        <w:t xml:space="preserve"> </w:t>
      </w:r>
      <w:r w:rsidRPr="00C365DE">
        <w:rPr>
          <w:rFonts w:cstheme="minorHAnsi"/>
        </w:rPr>
        <w:t>confianza en este programa con la firma de nuevos contratos, cuyo número oscila</w:t>
      </w:r>
      <w:r>
        <w:rPr>
          <w:rFonts w:cstheme="minorHAnsi"/>
        </w:rPr>
        <w:t xml:space="preserve"> </w:t>
      </w:r>
      <w:r w:rsidRPr="00C365DE">
        <w:rPr>
          <w:rFonts w:cstheme="minorHAnsi"/>
        </w:rPr>
        <w:t>entre uno y seis sucesivos tras el inicial.</w:t>
      </w:r>
    </w:p>
    <w:p w14:paraId="6712FE71" w14:textId="2C7B4C27" w:rsidR="00C365DE" w:rsidRPr="00C365DE" w:rsidRDefault="00C365DE" w:rsidP="00C365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365DE">
        <w:rPr>
          <w:rFonts w:cstheme="minorHAnsi"/>
        </w:rPr>
        <w:t>Por el contrario, 207 viviendas fueron recuperadas por la propiedad una vez</w:t>
      </w:r>
      <w:r>
        <w:rPr>
          <w:rFonts w:cstheme="minorHAnsi"/>
        </w:rPr>
        <w:t xml:space="preserve"> </w:t>
      </w:r>
      <w:r w:rsidRPr="00C365DE">
        <w:rPr>
          <w:rFonts w:cstheme="minorHAnsi"/>
        </w:rPr>
        <w:t>vencido el primer contrato, lo que supone porcentualmente el 22,9</w:t>
      </w:r>
      <w:r>
        <w:rPr>
          <w:rFonts w:cstheme="minorHAnsi"/>
        </w:rPr>
        <w:t xml:space="preserve"> </w:t>
      </w:r>
      <w:r w:rsidRPr="00C365DE">
        <w:rPr>
          <w:rFonts w:cstheme="minorHAnsi"/>
        </w:rPr>
        <w:t>%.</w:t>
      </w:r>
    </w:p>
    <w:p w14:paraId="7E0C7F43" w14:textId="36F8DE4E" w:rsidR="00C365DE" w:rsidRPr="00C365DE" w:rsidRDefault="00C365DE" w:rsidP="00C365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365DE">
        <w:rPr>
          <w:rFonts w:cstheme="minorHAnsi"/>
        </w:rPr>
        <w:t>Actualmente, otras 521 viviendas tienen en vigor su primer contrato, por lo que</w:t>
      </w:r>
      <w:r>
        <w:rPr>
          <w:rFonts w:cstheme="minorHAnsi"/>
        </w:rPr>
        <w:t xml:space="preserve"> </w:t>
      </w:r>
      <w:r w:rsidRPr="00C365DE">
        <w:rPr>
          <w:rFonts w:cstheme="minorHAnsi"/>
        </w:rPr>
        <w:t>en este momento no cabe decidir si las personas propietarias optarán por renovar el</w:t>
      </w:r>
      <w:r>
        <w:rPr>
          <w:rFonts w:cstheme="minorHAnsi"/>
        </w:rPr>
        <w:t xml:space="preserve"> </w:t>
      </w:r>
      <w:r w:rsidRPr="00C365DE">
        <w:rPr>
          <w:rFonts w:cstheme="minorHAnsi"/>
        </w:rPr>
        <w:t>plazo de cesión o por abandonar el programa.</w:t>
      </w:r>
    </w:p>
    <w:p w14:paraId="502A63B2" w14:textId="1DCECB25" w:rsidR="00C365DE" w:rsidRPr="00C365DE" w:rsidRDefault="00C365DE" w:rsidP="00C365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365DE">
        <w:rPr>
          <w:rFonts w:cstheme="minorHAnsi"/>
        </w:rPr>
        <w:t>Es cuanto informo en cumplimiento de lo dispuesto en el artículo 215 del</w:t>
      </w:r>
      <w:r>
        <w:rPr>
          <w:rFonts w:cstheme="minorHAnsi"/>
        </w:rPr>
        <w:t xml:space="preserve"> </w:t>
      </w:r>
      <w:r w:rsidRPr="00C365DE">
        <w:rPr>
          <w:rFonts w:cstheme="minorHAnsi"/>
        </w:rPr>
        <w:t>Reglamento del Parlamento de Navarra.</w:t>
      </w:r>
    </w:p>
    <w:p w14:paraId="053F73D7" w14:textId="3C6E23A5" w:rsidR="00C365DE" w:rsidRPr="00C365DE" w:rsidRDefault="00C365DE" w:rsidP="00C365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365DE">
        <w:rPr>
          <w:rFonts w:cstheme="minorHAnsi"/>
        </w:rPr>
        <w:t>En Pamplona,</w:t>
      </w:r>
      <w:r>
        <w:rPr>
          <w:rFonts w:cstheme="minorHAnsi"/>
        </w:rPr>
        <w:t xml:space="preserve"> a</w:t>
      </w:r>
      <w:r w:rsidRPr="00C365DE">
        <w:rPr>
          <w:rFonts w:cstheme="minorHAnsi"/>
        </w:rPr>
        <w:t xml:space="preserve"> 17 de octubre de 2025</w:t>
      </w:r>
    </w:p>
    <w:p w14:paraId="3AC39FD6" w14:textId="52009B49" w:rsidR="00C365DE" w:rsidRPr="00C365DE" w:rsidRDefault="00C365DE" w:rsidP="00C365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</w:t>
      </w:r>
      <w:proofErr w:type="gramStart"/>
      <w:r w:rsidRPr="00C365DE">
        <w:rPr>
          <w:rFonts w:cstheme="minorHAnsi"/>
        </w:rPr>
        <w:t>Vicepresidenta</w:t>
      </w:r>
      <w:proofErr w:type="gramEnd"/>
      <w:r w:rsidRPr="00C365DE">
        <w:rPr>
          <w:rFonts w:cstheme="minorHAnsi"/>
        </w:rPr>
        <w:t xml:space="preserve"> Tercera y </w:t>
      </w:r>
      <w:proofErr w:type="gramStart"/>
      <w:r w:rsidRPr="00C365DE">
        <w:rPr>
          <w:rFonts w:cstheme="minorHAnsi"/>
        </w:rPr>
        <w:t>Consejera</w:t>
      </w:r>
      <w:proofErr w:type="gramEnd"/>
      <w:r w:rsidRPr="00C365DE">
        <w:rPr>
          <w:rFonts w:cstheme="minorHAnsi"/>
        </w:rPr>
        <w:t xml:space="preserve"> de Vivienda,</w:t>
      </w:r>
      <w:r>
        <w:rPr>
          <w:rFonts w:cstheme="minorHAnsi"/>
        </w:rPr>
        <w:t xml:space="preserve"> </w:t>
      </w:r>
      <w:r w:rsidRPr="00C365DE">
        <w:rPr>
          <w:rFonts w:cstheme="minorHAnsi"/>
        </w:rPr>
        <w:t>Juventud y Políticas Migratorias</w:t>
      </w:r>
      <w:r>
        <w:rPr>
          <w:rFonts w:cstheme="minorHAnsi"/>
        </w:rPr>
        <w:t>: Begoña Alfaro García</w:t>
      </w:r>
    </w:p>
    <w:sectPr w:rsidR="00C365DE" w:rsidRPr="00C365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6748B"/>
    <w:multiLevelType w:val="hybridMultilevel"/>
    <w:tmpl w:val="98C2D7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D5FC4"/>
    <w:multiLevelType w:val="hybridMultilevel"/>
    <w:tmpl w:val="55CA8C16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99034975">
    <w:abstractNumId w:val="1"/>
  </w:num>
  <w:num w:numId="2" w16cid:durableId="108556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59"/>
    <w:rsid w:val="002762BD"/>
    <w:rsid w:val="00514B3B"/>
    <w:rsid w:val="00752359"/>
    <w:rsid w:val="00A33D2D"/>
    <w:rsid w:val="00B06798"/>
    <w:rsid w:val="00C365DE"/>
    <w:rsid w:val="00D9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4B6B"/>
  <w15:chartTrackingRefBased/>
  <w15:docId w15:val="{6863EA01-CB73-490E-8280-5180737F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36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36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5</cp:revision>
  <dcterms:created xsi:type="dcterms:W3CDTF">2025-10-20T09:42:00Z</dcterms:created>
  <dcterms:modified xsi:type="dcterms:W3CDTF">2025-10-27T09:05:00Z</dcterms:modified>
</cp:coreProperties>
</file>