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A23E" w14:textId="612508E0" w:rsidR="009B2B70" w:rsidRPr="009B2B70" w:rsidRDefault="009B2B70" w:rsidP="009B2B70">
      <w:pPr>
        <w:spacing w:after="120" w:line="276" w:lineRule="auto"/>
        <w:jc w:val="both"/>
        <w:rPr>
          <w:rFonts w:cstheme="minorHAnsi"/>
        </w:rPr>
      </w:pPr>
      <w:r w:rsidRPr="009B2B70">
        <w:rPr>
          <w:rFonts w:cstheme="minorHAnsi"/>
        </w:rPr>
        <w:t>26PES-2</w:t>
      </w:r>
    </w:p>
    <w:p w14:paraId="23C9FB4B" w14:textId="759A5425" w:rsidR="009B2B70" w:rsidRPr="009B2B70" w:rsidRDefault="009B2B70" w:rsidP="009B2B7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B2B70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al Gobierno de Navarra:</w:t>
      </w:r>
    </w:p>
    <w:p w14:paraId="0C42DB33" w14:textId="40EA2553" w:rsidR="009B2B70" w:rsidRPr="009B2B70" w:rsidRDefault="009B2B70" w:rsidP="009B2B7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B2B70">
        <w:rPr>
          <w:rFonts w:cstheme="minorHAnsi"/>
        </w:rPr>
        <w:t>Con relación a</w:t>
      </w:r>
      <w:r w:rsidRPr="009B2B70">
        <w:rPr>
          <w:rFonts w:cstheme="minorHAnsi"/>
        </w:rPr>
        <w:t xml:space="preserve"> la respuesta obtenida por parte de Departamento de Salud a la 11-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25/PES-00045, en la que indicaba que “tras la última reunión con miembros de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 xml:space="preserve">la Asociación de Espina </w:t>
      </w:r>
      <w:r>
        <w:rPr>
          <w:rFonts w:cstheme="minorHAnsi"/>
        </w:rPr>
        <w:t>B</w:t>
      </w:r>
      <w:r w:rsidRPr="009B2B70">
        <w:rPr>
          <w:rFonts w:cstheme="minorHAnsi"/>
        </w:rPr>
        <w:t>ífida, nos hemos planteado elaborar un modelo de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atención para los adultos, basada en la estrategia de crónicos para aquellos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pacientes que lo requieran y que facilite la transición entre aquellos que ya están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siendo atendidos en la unidad del niño crónico complejo”</w:t>
      </w:r>
      <w:r>
        <w:rPr>
          <w:rFonts w:cstheme="minorHAnsi"/>
        </w:rPr>
        <w:t>,</w:t>
      </w:r>
      <w:r w:rsidRPr="009B2B70">
        <w:rPr>
          <w:rFonts w:cstheme="minorHAnsi"/>
        </w:rPr>
        <w:t xml:space="preserve"> ¿</w:t>
      </w:r>
      <w:r>
        <w:rPr>
          <w:rFonts w:cstheme="minorHAnsi"/>
        </w:rPr>
        <w:t>q</w:t>
      </w:r>
      <w:r w:rsidRPr="009B2B70">
        <w:rPr>
          <w:rFonts w:cstheme="minorHAnsi"/>
        </w:rPr>
        <w:t>ué pasos se han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dado desde entonces y en qu</w:t>
      </w:r>
      <w:r>
        <w:rPr>
          <w:rFonts w:cstheme="minorHAnsi"/>
        </w:rPr>
        <w:t>é</w:t>
      </w:r>
      <w:r w:rsidRPr="009B2B70">
        <w:rPr>
          <w:rFonts w:cstheme="minorHAnsi"/>
        </w:rPr>
        <w:t xml:space="preserve"> punto se encuentra la implantación del “modelo</w:t>
      </w:r>
      <w:r>
        <w:rPr>
          <w:rFonts w:cstheme="minorHAnsi"/>
        </w:rPr>
        <w:t xml:space="preserve"> </w:t>
      </w:r>
      <w:r w:rsidRPr="009B2B70">
        <w:rPr>
          <w:rFonts w:cstheme="minorHAnsi"/>
        </w:rPr>
        <w:t>de atención para los adultos, basada en la estrategia de crónicos”?</w:t>
      </w:r>
    </w:p>
    <w:p w14:paraId="7BDFF250" w14:textId="22DCAB01" w:rsidR="009B2B70" w:rsidRPr="009B2B70" w:rsidRDefault="009B2B70" w:rsidP="009B2B7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B2B70">
        <w:rPr>
          <w:rFonts w:cstheme="minorHAnsi"/>
        </w:rPr>
        <w:t>Pamplona, 7 de enero de 2026</w:t>
      </w:r>
    </w:p>
    <w:p w14:paraId="64D260C6" w14:textId="22FB7144" w:rsidR="009B2B70" w:rsidRPr="009B2B70" w:rsidRDefault="009B2B70" w:rsidP="009B2B70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9B2B70">
        <w:rPr>
          <w:rFonts w:cstheme="minorHAnsi"/>
        </w:rPr>
        <w:t>Leticia San Martín Rodríguez</w:t>
      </w:r>
    </w:p>
    <w:sectPr w:rsidR="009B2B70" w:rsidRPr="009B2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70"/>
    <w:rsid w:val="009B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E016"/>
  <w15:chartTrackingRefBased/>
  <w15:docId w15:val="{FEA78FE0-7E83-421B-A54E-42E84860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2026-01-09T11:23:00Z</dcterms:created>
  <dcterms:modified xsi:type="dcterms:W3CDTF">2026-01-09T11:26:00Z</dcterms:modified>
</cp:coreProperties>
</file>