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FA25" w14:textId="332D4C77" w:rsidR="00FA171C" w:rsidRPr="00FD2615" w:rsidRDefault="00FD2615" w:rsidP="00FD2615">
      <w:pPr>
        <w:pStyle w:val="Default"/>
        <w:spacing w:after="120" w:line="276" w:lineRule="auto"/>
        <w:jc w:val="both"/>
        <w:rPr>
          <w:sz w:val="22"/>
          <w:szCs w:val="22"/>
          <w:rFonts w:asciiTheme="minorHAnsi" w:hAnsiTheme="minorHAnsi" w:cs="Arial"/>
        </w:rPr>
      </w:pPr>
      <w:r>
        <w:rPr>
          <w:sz w:val="22"/>
          <w:rFonts w:asciiTheme="minorHAnsi" w:hAnsiTheme="minorHAnsi"/>
        </w:rPr>
        <w:t xml:space="preserve">2026ko urtarrilaren 14a</w:t>
      </w:r>
    </w:p>
    <w:p w14:paraId="117A1FC2" w14:textId="7A510110" w:rsidR="00520FD6" w:rsidRPr="00FD2615" w:rsidRDefault="005C5D95" w:rsidP="00FD2615">
      <w:pPr>
        <w:autoSpaceDE w:val="0"/>
        <w:autoSpaceDN w:val="0"/>
        <w:adjustRightInd w:val="0"/>
        <w:spacing w:after="120" w:line="276" w:lineRule="auto"/>
        <w:jc w:val="both"/>
        <w:rPr>
          <w:sz w:val="22"/>
          <w:szCs w:val="22"/>
          <w:rFonts w:asciiTheme="minorHAnsi" w:hAnsiTheme="minorHAnsi" w:cs="Arial"/>
        </w:rPr>
      </w:pPr>
      <w:r>
        <w:rPr>
          <w:sz w:val="22"/>
          <w:rFonts w:asciiTheme="minorHAnsi" w:hAnsiTheme="minorHAnsi"/>
        </w:rPr>
        <w:t xml:space="preserve">EH Bildu</w:t>
      </w:r>
      <w:r>
        <w:rPr>
          <w:sz w:val="22"/>
          <w:color w:val="FF0000"/>
          <w:rFonts w:asciiTheme="minorHAnsi" w:hAnsiTheme="minorHAnsi"/>
        </w:rPr>
        <w:t xml:space="preserve"> </w:t>
      </w:r>
      <w:r>
        <w:rPr>
          <w:sz w:val="22"/>
          <w:rFonts w:asciiTheme="minorHAnsi" w:hAnsiTheme="minorHAnsi"/>
        </w:rPr>
        <w:t xml:space="preserve">talde parlamentarioari atxikitako foru parlamentari Oihan Mendo Goñi jaunak 11-25/PES-00439 idatzizko galdera egin zuen. Hona hemen Nafarroako Gobernuko Kultura, Kirol eta Turismoko kontseilariak horretaz ematen dion informazioa:</w:t>
      </w:r>
    </w:p>
    <w:p w14:paraId="2DF43ABD" w14:textId="77777777" w:rsidR="00FA5CF9" w:rsidRPr="00FD2615" w:rsidRDefault="00FA5CF9" w:rsidP="00FD2615">
      <w:pPr>
        <w:spacing w:after="120" w:line="276" w:lineRule="auto"/>
        <w:jc w:val="both"/>
        <w:rPr>
          <w:sz w:val="22"/>
          <w:szCs w:val="22"/>
          <w:rFonts w:asciiTheme="minorHAnsi" w:hAnsiTheme="minorHAnsi" w:cs="Arial"/>
        </w:rPr>
      </w:pPr>
      <w:r>
        <w:rPr>
          <w:sz w:val="22"/>
          <w:rFonts w:asciiTheme="minorHAnsi" w:hAnsiTheme="minorHAnsi"/>
        </w:rPr>
        <w:t xml:space="preserve">2024ko urriaren 31n Kulturaren Lanbideen Legearen egutegiari eta Artistaren Estatutua Nafarroako errealitatera egokitzeari buruz onetsitako mozioari dagokionez, jakinarazten dugu lan horiek esparru zabalago baten barruan ari direla garatzen: kultura-sektorea profesionalizatzeko estrategiari loturik, zeina Nafarroako Kulturaren 2024-2028 aldirako Plan Estrategikoan baitago aurreikusita.</w:t>
      </w:r>
    </w:p>
    <w:p w14:paraId="3D113E9D" w14:textId="77777777" w:rsidR="00FA5CF9" w:rsidRPr="00FD2615" w:rsidRDefault="00FA5CF9" w:rsidP="00FD2615">
      <w:pPr>
        <w:spacing w:after="120" w:line="276" w:lineRule="auto"/>
        <w:jc w:val="both"/>
        <w:rPr>
          <w:sz w:val="22"/>
          <w:szCs w:val="22"/>
          <w:rFonts w:asciiTheme="minorHAnsi" w:hAnsiTheme="minorHAnsi" w:cs="Arial"/>
        </w:rPr>
      </w:pPr>
      <w:r>
        <w:rPr>
          <w:sz w:val="22"/>
          <w:rFonts w:asciiTheme="minorHAnsi" w:hAnsiTheme="minorHAnsi"/>
        </w:rPr>
        <w:t xml:space="preserve">Ikuspegi horri esker, kultura-azpisektoreetako (musika, arte eszenikoak, ikus-entzunezkoak, ondarea, kultura-bitartekaritza edo sorkuntza garaikidea) lan-, prestakuntza- eta zerga-errealitateen aniztasunari erantzun ahal zaio, eta, horrenbestez, azterketa zorrotza egin behar da aldez aurretik, etorkizuneko arau-erabakiak eta erabaki espezifikoak behar bezala oinarritzeko.</w:t>
      </w:r>
    </w:p>
    <w:p w14:paraId="4EA13DC7" w14:textId="77777777" w:rsidR="00FA5CF9" w:rsidRPr="00FD2615" w:rsidRDefault="00FA5CF9" w:rsidP="00FD2615">
      <w:pPr>
        <w:spacing w:after="120" w:line="276" w:lineRule="auto"/>
        <w:jc w:val="both"/>
        <w:rPr>
          <w:sz w:val="22"/>
          <w:szCs w:val="22"/>
          <w:rFonts w:asciiTheme="minorHAnsi" w:hAnsiTheme="minorHAnsi" w:cs="Arial"/>
        </w:rPr>
      </w:pPr>
      <w:r>
        <w:rPr>
          <w:sz w:val="22"/>
          <w:rFonts w:asciiTheme="minorHAnsi" w:hAnsiTheme="minorHAnsi"/>
        </w:rPr>
        <w:t xml:space="preserve">Testuinguru horretan, Vianako Printzea Erakundea-Kultura Zuzendaritza Nagusia txosten tekniko bat prestatzen ari da, Nafarroan lanbide artistikoa arautzeko gakoak hizpide harturik, zeina oinarrizko dokumentu gisa pentsatua baita Kulturako Lanbideei buruzko etorkizuneko Legea egiteko eta Artistaren Estatutu Foru Komunitatera egokitzeko.</w:t>
      </w:r>
      <w:r>
        <w:rPr>
          <w:sz w:val="22"/>
          <w:rFonts w:asciiTheme="minorHAnsi" w:hAnsiTheme="minorHAnsi"/>
        </w:rPr>
        <w:t xml:space="preserve"> </w:t>
      </w:r>
      <w:r>
        <w:rPr>
          <w:sz w:val="22"/>
          <w:rFonts w:asciiTheme="minorHAnsi" w:hAnsiTheme="minorHAnsi"/>
        </w:rPr>
        <w:t xml:space="preserve">Txosten horrek modu egituratuan jorratzen ditu zenbait alderdi, Nafarroak kulturan eta hezkuntza zein prestakuntzan dituen eskumenei, besteren konturako eta norberaren konturako lanari, mezenasgoari, jabetza intelektualari, eskubide kolektiboei, lan-arriskuen prebentzioari eta sektoreari aplikatu beharreko zerga neurriei dagokienez.</w:t>
      </w:r>
    </w:p>
    <w:p w14:paraId="18A26C31" w14:textId="77777777" w:rsidR="00FA5CF9" w:rsidRPr="00FD2615" w:rsidRDefault="00FA5CF9" w:rsidP="00FD2615">
      <w:pPr>
        <w:spacing w:after="120" w:line="276" w:lineRule="auto"/>
        <w:jc w:val="both"/>
        <w:rPr>
          <w:sz w:val="22"/>
          <w:szCs w:val="22"/>
          <w:rFonts w:asciiTheme="minorHAnsi" w:hAnsiTheme="minorHAnsi" w:cs="Arial"/>
        </w:rPr>
      </w:pPr>
      <w:r>
        <w:rPr>
          <w:sz w:val="22"/>
          <w:rFonts w:asciiTheme="minorHAnsi" w:hAnsiTheme="minorHAnsi"/>
        </w:rPr>
        <w:t xml:space="preserve">Aitortzen dugu txosten hori egiteko epe luzeagoa behar izan dela hasieran aurreikusitakoa baino, haren edukia Nafarroako Kulturaren 2024-2028 aldirako Plan Estrategikoaren jarraipena eta ebaluazioa egiteko dispositiboarekin ari baitira kontrastatzen eta alderatzen, bereziki 2024-2025 aldiari dagokion urteko jarraipen txostenarekin, diagnostikoaren, neurrien eta ebaluazioaren arteko koherentzia bermatzeko.</w:t>
      </w:r>
      <w:r>
        <w:rPr>
          <w:sz w:val="22"/>
          <w:rFonts w:asciiTheme="minorHAnsi" w:hAnsiTheme="minorHAnsi"/>
        </w:rPr>
        <w:t xml:space="preserve"> </w:t>
      </w:r>
      <w:r>
        <w:rPr>
          <w:sz w:val="22"/>
          <w:rFonts w:asciiTheme="minorHAnsi" w:hAnsiTheme="minorHAnsi"/>
        </w:rPr>
        <w:t xml:space="preserve">Horregatik, hasiera batean 2025aren amaieran aurkeztea bazegoen ere aurreikusita, 2026ko lehen hiruhilekoan aurkeztea da egungo aurreikuspena eta gure nahia.</w:t>
      </w:r>
    </w:p>
    <w:p w14:paraId="40022371" w14:textId="77777777" w:rsidR="00D36E14" w:rsidRPr="00FD2615" w:rsidRDefault="00FA5CF9" w:rsidP="00FD2615">
      <w:pPr>
        <w:spacing w:after="120" w:line="276" w:lineRule="auto"/>
        <w:jc w:val="both"/>
        <w:rPr>
          <w:sz w:val="22"/>
          <w:szCs w:val="22"/>
          <w:rFonts w:asciiTheme="minorHAnsi" w:hAnsiTheme="minorHAnsi" w:cs="Arial"/>
        </w:rPr>
      </w:pPr>
      <w:r>
        <w:rPr>
          <w:sz w:val="22"/>
          <w:rFonts w:asciiTheme="minorHAnsi" w:hAnsiTheme="minorHAnsi"/>
        </w:rPr>
        <w:t xml:space="preserve">Aldi horretan, orobat, kontuan hartu dira egoera profesionalak, bai eta lan-baldintzak eta baldintza profesionalak aitortzea eta hobetzea ere, Nafarroako kulturaren esparruan garatzen ari diren eta gure eskumenekoak diren plan, prozesu eta arau-esparruetan.</w:t>
      </w:r>
      <w:r>
        <w:rPr>
          <w:sz w:val="22"/>
          <w:rFonts w:asciiTheme="minorHAnsi" w:hAnsiTheme="minorHAnsi"/>
        </w:rPr>
        <w:t xml:space="preserve"> </w:t>
      </w:r>
      <w:r>
        <w:rPr>
          <w:sz w:val="22"/>
          <w:rFonts w:asciiTheme="minorHAnsi" w:hAnsiTheme="minorHAnsi"/>
        </w:rPr>
        <w:t xml:space="preserve">Esate baterako, gogoeta horiek zenbait lanetan txertatu dira, hala nola Arkeologiako Plan Estrategikoan, Artxiboen eta Dokumentu Ondarearen Legearen aurreproiektuan, azken urteotan hartutako neurri fiskaletan —bereziki ikus-entzunezkoen, musikaren eta zuzeneko arteen sektorearekin lotuta—, bai eta Uharteko Arte Garaikideko Zentroan eta beste zenbait fundaziotan onetsiriko enpresa-hitzarmen edo -akordioetan ere.</w:t>
      </w:r>
      <w:r>
        <w:rPr>
          <w:sz w:val="22"/>
          <w:rFonts w:asciiTheme="minorHAnsi" w:hAnsiTheme="minorHAnsi"/>
        </w:rPr>
        <w:t xml:space="preserve"> </w:t>
      </w:r>
      <w:r>
        <w:rPr>
          <w:sz w:val="22"/>
          <w:rFonts w:asciiTheme="minorHAnsi" w:hAnsiTheme="minorHAnsi"/>
        </w:rPr>
        <w:t xml:space="preserve">Berebat, kontuan hartu dira Kulturako Zuzendaritza Nagusiak sustatutako zuzendaritza artistikoen lizitazioetan, 2025-2027 aldirako Dirulaguntzen Planean eta Nafarroako liburutegi publikoetan zerbitzuak ematen dituzten langileen egoera aztertzean, besteak beste.</w:t>
      </w:r>
      <w:r>
        <w:rPr>
          <w:sz w:val="22"/>
          <w:rFonts w:asciiTheme="minorHAnsi" w:hAnsiTheme="minorHAnsi"/>
        </w:rPr>
        <w:t xml:space="preserve"> </w:t>
      </w:r>
      <w:r>
        <w:rPr>
          <w:sz w:val="22"/>
          <w:rFonts w:asciiTheme="minorHAnsi" w:hAnsiTheme="minorHAnsi"/>
        </w:rPr>
        <w:t xml:space="preserve">Duten garrantzia ikusirik, ez ditugu ahaztu behar toki-entitateek bultzatutako beste ekintza batzuk ere, hala nola udalen arteko kudeaketa-hitzarmena, Nafarroako toki-administrazioetan kultura-teknikariak kontratatzeko zerrenda bat sortzeko deialdiari dagokiona.</w:t>
      </w:r>
    </w:p>
    <w:p w14:paraId="5018E353" w14:textId="77777777" w:rsidR="00520FD6" w:rsidRPr="00FD2615" w:rsidRDefault="005C5D95" w:rsidP="00FD2615">
      <w:pPr>
        <w:tabs>
          <w:tab w:val="left" w:pos="709"/>
          <w:tab w:val="left" w:pos="992"/>
          <w:tab w:val="left" w:pos="1276"/>
          <w:tab w:val="center" w:pos="3827"/>
        </w:tabs>
        <w:spacing w:after="120" w:line="276" w:lineRule="auto"/>
        <w:ind w:right="-1"/>
        <w:jc w:val="both"/>
        <w:rPr>
          <w:sz w:val="22"/>
          <w:szCs w:val="22"/>
          <w:rFonts w:asciiTheme="minorHAnsi" w:hAnsiTheme="minorHAnsi" w:cs="Arial"/>
        </w:rPr>
      </w:pPr>
      <w:r>
        <w:rPr>
          <w:sz w:val="22"/>
          <w:rFonts w:asciiTheme="minorHAnsi" w:hAnsiTheme="minorHAnsi"/>
        </w:rPr>
        <w:t xml:space="preserve">Horixe jakinarazten ahal dut, Nafarroako Parlamentuko Erregelamenduaren 215. artikuluan xedatutakoa betez.</w:t>
      </w:r>
    </w:p>
    <w:p w14:paraId="52E112E3" w14:textId="77777777" w:rsidR="005C5D95" w:rsidRPr="00FD2615" w:rsidRDefault="00044E27" w:rsidP="00FD2615">
      <w:pPr>
        <w:spacing w:after="120" w:line="276" w:lineRule="auto"/>
        <w:jc w:val="both"/>
        <w:rPr>
          <w:sz w:val="22"/>
          <w:szCs w:val="22"/>
          <w:rFonts w:asciiTheme="minorHAnsi" w:hAnsiTheme="minorHAnsi" w:cs="Arial"/>
        </w:rPr>
      </w:pPr>
      <w:r>
        <w:rPr>
          <w:sz w:val="22"/>
          <w:rFonts w:asciiTheme="minorHAnsi" w:hAnsiTheme="minorHAnsi"/>
        </w:rPr>
        <w:t xml:space="preserve">Iruñean, 2026ko urtarrilaren 13an</w:t>
      </w:r>
    </w:p>
    <w:p w14:paraId="3C49EB69" w14:textId="08F4CDF4" w:rsidR="00D74EC4" w:rsidRPr="00FD2615" w:rsidRDefault="00FD2615" w:rsidP="00FD2615">
      <w:pPr>
        <w:spacing w:after="120" w:line="276" w:lineRule="auto"/>
        <w:jc w:val="both"/>
        <w:rPr>
          <w:sz w:val="22"/>
          <w:szCs w:val="22"/>
          <w:rFonts w:asciiTheme="minorHAnsi" w:hAnsiTheme="minorHAnsi"/>
        </w:rPr>
      </w:pPr>
      <w:r>
        <w:rPr>
          <w:sz w:val="22"/>
          <w:rFonts w:asciiTheme="minorHAnsi" w:hAnsiTheme="minorHAnsi"/>
        </w:rPr>
        <w:t xml:space="preserve">Kultura, Kirol eta Turismoko kontseilaria: Rebeca Esnaola Bermejo</w:t>
      </w:r>
    </w:p>
    <w:sectPr w:rsidR="00D74EC4" w:rsidRPr="00FD26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E6579D"/>
    <w:multiLevelType w:val="hybridMultilevel"/>
    <w:tmpl w:val="7A5C8362"/>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EDA1356"/>
    <w:multiLevelType w:val="hybridMultilevel"/>
    <w:tmpl w:val="FC96AC0C"/>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E24D0"/>
    <w:rsid w:val="00145C38"/>
    <w:rsid w:val="00165C78"/>
    <w:rsid w:val="00240870"/>
    <w:rsid w:val="00257D7A"/>
    <w:rsid w:val="002601DD"/>
    <w:rsid w:val="002B3F6C"/>
    <w:rsid w:val="002E62D5"/>
    <w:rsid w:val="00322385"/>
    <w:rsid w:val="003C031B"/>
    <w:rsid w:val="003E0FC6"/>
    <w:rsid w:val="003E48EE"/>
    <w:rsid w:val="00436602"/>
    <w:rsid w:val="00444730"/>
    <w:rsid w:val="00484F26"/>
    <w:rsid w:val="004D46C0"/>
    <w:rsid w:val="004F146C"/>
    <w:rsid w:val="00512C90"/>
    <w:rsid w:val="00520FD6"/>
    <w:rsid w:val="005234C5"/>
    <w:rsid w:val="005322EF"/>
    <w:rsid w:val="00583BDA"/>
    <w:rsid w:val="00587A69"/>
    <w:rsid w:val="005C33C7"/>
    <w:rsid w:val="005C5D95"/>
    <w:rsid w:val="005D19BA"/>
    <w:rsid w:val="00733746"/>
    <w:rsid w:val="0073496C"/>
    <w:rsid w:val="0075427A"/>
    <w:rsid w:val="007E509F"/>
    <w:rsid w:val="0081139A"/>
    <w:rsid w:val="00842895"/>
    <w:rsid w:val="008432FA"/>
    <w:rsid w:val="008E03B3"/>
    <w:rsid w:val="008E6CDA"/>
    <w:rsid w:val="00996D1B"/>
    <w:rsid w:val="00A02DDE"/>
    <w:rsid w:val="00A454EF"/>
    <w:rsid w:val="00AC1E58"/>
    <w:rsid w:val="00B21AE8"/>
    <w:rsid w:val="00B24A9A"/>
    <w:rsid w:val="00B700A2"/>
    <w:rsid w:val="00B77EAC"/>
    <w:rsid w:val="00BA1AD4"/>
    <w:rsid w:val="00BA5D83"/>
    <w:rsid w:val="00BB4A96"/>
    <w:rsid w:val="00C04996"/>
    <w:rsid w:val="00C27355"/>
    <w:rsid w:val="00D1626C"/>
    <w:rsid w:val="00D20825"/>
    <w:rsid w:val="00D32093"/>
    <w:rsid w:val="00D36E14"/>
    <w:rsid w:val="00D72524"/>
    <w:rsid w:val="00D74EC4"/>
    <w:rsid w:val="00DC4BD1"/>
    <w:rsid w:val="00E57209"/>
    <w:rsid w:val="00E76858"/>
    <w:rsid w:val="00E94BB4"/>
    <w:rsid w:val="00EA3076"/>
    <w:rsid w:val="00EC3B62"/>
    <w:rsid w:val="00F16AC7"/>
    <w:rsid w:val="00F31D35"/>
    <w:rsid w:val="00F8416F"/>
    <w:rsid w:val="00FA171C"/>
    <w:rsid w:val="00FA5CF9"/>
    <w:rsid w:val="00FA6A1E"/>
    <w:rsid w:val="00FC1868"/>
    <w:rsid w:val="00FD2615"/>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9E5F"/>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861093594">
      <w:bodyDiv w:val="1"/>
      <w:marLeft w:val="0"/>
      <w:marRight w:val="0"/>
      <w:marTop w:val="0"/>
      <w:marBottom w:val="0"/>
      <w:divBdr>
        <w:top w:val="none" w:sz="0" w:space="0" w:color="auto"/>
        <w:left w:val="none" w:sz="0" w:space="0" w:color="auto"/>
        <w:bottom w:val="none" w:sz="0" w:space="0" w:color="auto"/>
        <w:right w:val="none" w:sz="0" w:space="0" w:color="auto"/>
      </w:divBdr>
    </w:div>
    <w:div w:id="894976349">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1AC7-B4BA-41CE-ADE2-0FB16C8E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Fernández Pérez, Beatriz</cp:lastModifiedBy>
  <cp:revision>2</cp:revision>
  <cp:lastPrinted>2023-11-27T10:19:00Z</cp:lastPrinted>
  <dcterms:created xsi:type="dcterms:W3CDTF">2026-02-02T10:53:00Z</dcterms:created>
  <dcterms:modified xsi:type="dcterms:W3CDTF">2026-02-02T10:53:00Z</dcterms:modified>
</cp:coreProperties>
</file>