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C689" w14:textId="1700C000" w:rsidR="006B3A5A" w:rsidRDefault="00451F77" w:rsidP="00924B9E">
      <w:pPr>
        <w:spacing w:after="120" w:line="276" w:lineRule="auto"/>
        <w:jc w:val="both"/>
      </w:pPr>
      <w:r>
        <w:t>26PES-82</w:t>
      </w:r>
    </w:p>
    <w:p w14:paraId="311BA5C5" w14:textId="5A55F98B" w:rsidR="00F228A7" w:rsidRDefault="00F228A7" w:rsidP="00F228A7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7F2300A7" w14:textId="00EA2502" w:rsidR="00F228A7" w:rsidRDefault="00F228A7" w:rsidP="00F228A7">
      <w:pPr>
        <w:spacing w:after="120" w:line="276" w:lineRule="auto"/>
        <w:jc w:val="both"/>
      </w:pPr>
      <w:r>
        <w:t>¿Cuáles son las principales modificaciones y su correspondiente</w:t>
      </w:r>
      <w:r>
        <w:t xml:space="preserve"> </w:t>
      </w:r>
      <w:r>
        <w:t>coste económico que se introdujeron en 2024 en el proyecto de</w:t>
      </w:r>
      <w:r>
        <w:t xml:space="preserve"> </w:t>
      </w:r>
      <w:r>
        <w:t>ejecución del Centro Nacional de Industrialización y Robótica de la</w:t>
      </w:r>
      <w:r>
        <w:t xml:space="preserve"> </w:t>
      </w:r>
      <w:r>
        <w:t>Construcción?</w:t>
      </w:r>
    </w:p>
    <w:p w14:paraId="7CDCF3FC" w14:textId="0A608750" w:rsidR="00F228A7" w:rsidRDefault="00F228A7" w:rsidP="00F228A7">
      <w:pPr>
        <w:spacing w:after="120" w:line="276" w:lineRule="auto"/>
        <w:jc w:val="both"/>
      </w:pPr>
      <w:r>
        <w:t>Pamplona, 17 de marzo de 2026</w:t>
      </w:r>
    </w:p>
    <w:p w14:paraId="12D27E1E" w14:textId="7C65F004" w:rsidR="00451F77" w:rsidRDefault="00F228A7" w:rsidP="00F228A7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451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451F77"/>
    <w:rsid w:val="006B3A5A"/>
    <w:rsid w:val="00924B9E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2026-03-18T09:28:00Z</dcterms:created>
  <dcterms:modified xsi:type="dcterms:W3CDTF">2026-03-18T09:29:00Z</dcterms:modified>
</cp:coreProperties>
</file>