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51E5F" w14:textId="64FBB702" w:rsidR="00062064" w:rsidRDefault="008063FE">
      <w:r>
        <w:t xml:space="preserve">DECRETO FORAL LEGISLATIVO </w:t>
      </w:r>
      <w:r w:rsidR="00074EC4">
        <w:t>1</w:t>
      </w:r>
      <w:r>
        <w:t>/2026, de 1 de abril, de Armonización Tributaria, por el que se modifica el Impuesto sobre el Valor Añadido y el Impuesto sobre el Valor de la Producción de la Energía Eléctrica.</w:t>
      </w:r>
    </w:p>
    <w:p w14:paraId="27A8B619" w14:textId="77777777" w:rsidR="00074EC4" w:rsidRDefault="00074EC4"/>
    <w:p w14:paraId="464AF708" w14:textId="7541AD38" w:rsidR="00062064" w:rsidRDefault="008063FE">
      <w:r>
        <w:t xml:space="preserve">El </w:t>
      </w:r>
      <w:r w:rsidR="00074EC4">
        <w:t>t</w:t>
      </w:r>
      <w:r>
        <w:t>ítulo I del Convenio Económico entre el Estado y la Comunidad Foral de Navarra está dedicado a regular los criterios de armonización del régimen tributario de Navarra con el régimen tributario general del Estado.</w:t>
      </w:r>
    </w:p>
    <w:p w14:paraId="739F2AD0" w14:textId="77777777" w:rsidR="00074EC4" w:rsidRDefault="00074EC4"/>
    <w:p w14:paraId="44F3C38D" w14:textId="271949D7" w:rsidR="00062064" w:rsidRDefault="008063FE">
      <w:r>
        <w:t>En ese marco, los artículos 31 bis y 32 del mencionado Convenio Económico disponen, respectivamente, que en la exacción del Impuesto sobre el Valor de la Producción de la Energía Eléctrica (en adelante, IVPEE) y del Impuesto sobre el Valor Añadido (en adelante, IVA), Navarra aplicará las mismas normas sustantivas y formales vigentes en cada momento en territorio del Estado. No obstante, la Administración de la Comunidad Foral de Navarra podrá aprobar los modelos de declaración e ingreso, que contendrán, al menos, los mismos datos que los del territorio común y señalar plazos de ingreso para cada período de liquidación, que no diferirán sustancialmente de los establecidos por la Administración del Estado.</w:t>
      </w:r>
    </w:p>
    <w:p w14:paraId="10329094" w14:textId="77777777" w:rsidR="00074EC4" w:rsidRDefault="00074EC4"/>
    <w:p w14:paraId="56A1C34D" w14:textId="0A06DBE8" w:rsidR="00062064" w:rsidRDefault="008063FE">
      <w:r>
        <w:t xml:space="preserve">Por su parte, el artículo 53.1 de la Ley Foral 14/2004, de 3 de diciembre, del Gobierno de Navarra y de su Presidenta o Presidente, al regular la potestad normativa del Gobierno de Navarra, establece que, cuando de conformidad con lo establecido en el Convenio Económico, una reforma del régimen tributario común obligue a que en la Comunidad Foral se apliquen idénticas normas sustantivas y formales que las vigentes en cada </w:t>
      </w:r>
      <w:r>
        <w:lastRenderedPageBreak/>
        <w:t xml:space="preserve">momento en el Estado, el Gobierno de Navarra, por delegación del Parlamento de Navarra, podrá dictar las normas con rango de ley foral que sean precisas para la modificación de las correspondientes leyes forales tributarias. Las disposiciones del Gobierno de Navarra que comprendan dicha legislación delegada recibirán el título de </w:t>
      </w:r>
      <w:r w:rsidR="00074EC4">
        <w:t>d</w:t>
      </w:r>
      <w:r>
        <w:t xml:space="preserve">ecretos </w:t>
      </w:r>
      <w:r w:rsidR="00074EC4">
        <w:t>f</w:t>
      </w:r>
      <w:r>
        <w:t xml:space="preserve">orales </w:t>
      </w:r>
      <w:r w:rsidR="00074EC4">
        <w:t>l</w:t>
      </w:r>
      <w:r>
        <w:t>egislativos de armonización tributaria, de conformidad con lo dispuesto en el artículo 53.2 de la citada Ley Foral 14/2004.</w:t>
      </w:r>
    </w:p>
    <w:p w14:paraId="442F1598" w14:textId="77777777" w:rsidR="00074EC4" w:rsidRDefault="00074EC4"/>
    <w:p w14:paraId="16CE3AF7" w14:textId="4534D09A" w:rsidR="00062064" w:rsidRDefault="008063FE">
      <w:r>
        <w:t xml:space="preserve">En el ámbito estatal, el Real Decreto-ley 7/2026, de 20 de marzo, por el que se aprueba el Plan Integral de </w:t>
      </w:r>
      <w:r w:rsidR="001358E3">
        <w:t>R</w:t>
      </w:r>
      <w:r>
        <w:t xml:space="preserve">espuesta a la </w:t>
      </w:r>
      <w:r w:rsidR="001358E3">
        <w:t>C</w:t>
      </w:r>
      <w:r>
        <w:t>risis en Oriente Medio, ha modificado la normativa relativa al IVA y al IVPEE para combatir las consecuencias económicas derivadas de la crisis energética producida por el conflicto bélico recientemente iniciado en Oriente Próximo.</w:t>
      </w:r>
    </w:p>
    <w:p w14:paraId="7510D934" w14:textId="77777777" w:rsidR="00074EC4" w:rsidRDefault="00074EC4"/>
    <w:p w14:paraId="00B8CEFB" w14:textId="0FFAE202" w:rsidR="00062064" w:rsidRDefault="008063FE">
      <w:r>
        <w:t>En el sector eléctrico, para compensar los mayores costes que están soportando las empresas que determinan el precio de la electricidad en el mercado mayorista, debido al encarecimiento de los produ</w:t>
      </w:r>
      <w:r w:rsidR="00074EC4">
        <w:t>ctos energéticos, de forma que</w:t>
      </w:r>
      <w:r>
        <w:t xml:space="preserve"> puedan ofertar precios más competitivos que redunden en beneficio de los consumidores, se establecen determinadas minoraciones en la forma de cálculo de la base imponible del IVPEE.</w:t>
      </w:r>
    </w:p>
    <w:p w14:paraId="26BD3301" w14:textId="77777777" w:rsidR="00074EC4" w:rsidRDefault="00074EC4"/>
    <w:p w14:paraId="4CE91DF8" w14:textId="28B8164B" w:rsidR="00062064" w:rsidRDefault="008063FE">
      <w:r>
        <w:t xml:space="preserve">En particular, para el ejercicio 2026 la base imponible del IVPEE estará constituida por el importe total que corresponda percibir al contribuyente por la producción e incorporación al sistema eléctrico de energía eléctrica, medida en barras de central, por cada instalación, en el período impositivo minorada en el 10 </w:t>
      </w:r>
      <w:r>
        <w:lastRenderedPageBreak/>
        <w:t>por ciento de las retribuciones correspondientes a la electricidad incorporada al sistema durante el primer trimestre natural, y minorada en la totalidad de las retribuciones correspondientes a la electricidad incorporada al sistema durante el segundo trimestre natural.</w:t>
      </w:r>
    </w:p>
    <w:p w14:paraId="393C002E" w14:textId="77777777" w:rsidR="00074EC4" w:rsidRDefault="00074EC4"/>
    <w:p w14:paraId="262F8212" w14:textId="35C96C75" w:rsidR="00062064" w:rsidRDefault="008063FE">
      <w:r>
        <w:t>Respecto al ámbito del IVA, de forma extraordinaria y temporal hasta el 30 de junio de 2026, se reduce del 21 al 10 por ciento el tipo del IVA aplicable a los contratos de energía eléctrica cuyo término fijo de potencia no supere los 10 kW, lo que supone, en realidad, su aplicación a la práctica totalidad de los hogares consumidores finales, y a los titulares de contratos de suministro de electricidad que sean perceptores del bono social y, además, tengan reconocida la condición de vulnerable severo o vulnerable severo en riesgo de exclusión social, para paliar situaciones de pobreza energética de los consumidores más vulnerables. Asimismo, se reduce al 10 por ciento y con la misma vigencia, el tipo impositivo del IVA aplicable al gas natural, briquetas y pellets procedentes de la biomasa y a la madera para leña.</w:t>
      </w:r>
    </w:p>
    <w:p w14:paraId="0B52A7B6" w14:textId="77777777" w:rsidR="00074EC4" w:rsidRDefault="00074EC4"/>
    <w:p w14:paraId="079DBCB7" w14:textId="594A3CD0" w:rsidR="00062064" w:rsidRDefault="008063FE">
      <w:r>
        <w:t>Adicionalmente, durante la misma vigencia se rebaja del 21 al 10 por ciento el tipo del IVA aplicable a los carburantes y combustibles, lo que supondrá un importante ahorro para las familias al reducir el coste de sus desplazamientos.</w:t>
      </w:r>
    </w:p>
    <w:p w14:paraId="100BE57C" w14:textId="77777777" w:rsidR="00074EC4" w:rsidRDefault="00074EC4"/>
    <w:p w14:paraId="495D7998" w14:textId="41C9C0F4" w:rsidR="00062064" w:rsidRDefault="008063FE">
      <w:r>
        <w:t xml:space="preserve">Sin embargo, por tratarse de medidas excepcionales, las reducciones de los tipos del IVA durante el mes de </w:t>
      </w:r>
      <w:r>
        <w:lastRenderedPageBreak/>
        <w:t>junio de 2026 quedan subordinadas a la evolución del índice de precios al consumo de los productos afectados.</w:t>
      </w:r>
    </w:p>
    <w:p w14:paraId="73FC2BAD" w14:textId="77777777" w:rsidR="00074EC4" w:rsidRDefault="00074EC4"/>
    <w:p w14:paraId="220E9024" w14:textId="1775EAFE" w:rsidR="00062064" w:rsidRDefault="008063FE">
      <w:r>
        <w:t>Al margen de las medidas anteriores, se modifica el artículo 69.</w:t>
      </w:r>
      <w:proofErr w:type="gramStart"/>
      <w:r>
        <w:t>2.6.º</w:t>
      </w:r>
      <w:proofErr w:type="gramEnd"/>
      <w:r>
        <w:t xml:space="preserve"> de la Ley Foral 19/1992, de 30 de diciembre, del Impuesto sobre el Valor Añadido para remitir al límite de exclusión del régimen especial de la agricultura, ganadería y pesca (en adelante, REAGP), por importe de adquisiciones e importaciones de bienes y servicios, previsto en la normativa estatal. En territorio común este límite está regulado en el artículo </w:t>
      </w:r>
      <w:proofErr w:type="gramStart"/>
      <w:r>
        <w:t>124.Dos.6.º</w:t>
      </w:r>
      <w:proofErr w:type="gramEnd"/>
      <w:r>
        <w:t xml:space="preserve"> de la Ley 37/1992, de 28 de diciembre, del Impuesto sobre el Valor Añadido, modificado de forma transitoria por la disposición transitoria decimotercera de la misma ley. Esta modificación persigue, por tanto, que el ámbito subjetivo del régimen especial en Navarra quede definido en los mismos términos que en la normativa estatal.</w:t>
      </w:r>
    </w:p>
    <w:p w14:paraId="21C4C3CE" w14:textId="77777777" w:rsidR="00074EC4" w:rsidRDefault="00074EC4"/>
    <w:p w14:paraId="23BC7957" w14:textId="6102F314" w:rsidR="00062064" w:rsidRDefault="008063FE">
      <w:r>
        <w:t>El mismo objetivo persigue la modificación de artículo 32.2.a) del Reglamento del Impuesto sobre el Valor Añadido aprobado por el Decreto Foral 86/1993, de 8 de marzo, que introduce la remisión a la normativa estatal en cuanto al límite de operaciones que determina la exclusión del REAGP. Este límite está previsto en territorio común en el artículo 43.2.a) del Reglamento del Impuesto sobre el Valor Añadido, aprobado por Real Decreto 1624/1992, de 29 de diciembre.</w:t>
      </w:r>
    </w:p>
    <w:p w14:paraId="493420DB" w14:textId="77777777" w:rsidR="00074EC4" w:rsidRDefault="00074EC4"/>
    <w:p w14:paraId="1087C44B" w14:textId="5883163B" w:rsidR="00062064" w:rsidRDefault="008063FE">
      <w:r>
        <w:t xml:space="preserve">Asimismo, se mejora la redacción de este apartado 2.a) y del apartado 3 del artículo 32 para aclarar que, a los efectos del cálculo del límite excluyente del régimen especial, se tendrán en cuenta todas las </w:t>
      </w:r>
      <w:r>
        <w:lastRenderedPageBreak/>
        <w:t>actividades agrícolas o ganaderas a las que hubiese resultado aplicable el régimen simplificado del IVA y el REAGP, tomándose como cuantía del volumen de ingresos aquellos que deban anotarse en los libros registro a que se refieren los artículos 29.1.c) y 36.1. de la ley foral del impuesto.</w:t>
      </w:r>
    </w:p>
    <w:p w14:paraId="37F8AB4D" w14:textId="77777777" w:rsidR="00074EC4" w:rsidRDefault="00074EC4"/>
    <w:p w14:paraId="438221E0" w14:textId="65D3B86F" w:rsidR="00062064" w:rsidRDefault="008063FE">
      <w:r>
        <w:t xml:space="preserve">Por tanto, es preciso dictar este </w:t>
      </w:r>
      <w:r w:rsidR="00074EC4">
        <w:t>d</w:t>
      </w:r>
      <w:r>
        <w:t xml:space="preserve">ecreto </w:t>
      </w:r>
      <w:r w:rsidR="00074EC4">
        <w:t>f</w:t>
      </w:r>
      <w:r>
        <w:t xml:space="preserve">oral </w:t>
      </w:r>
      <w:r w:rsidR="00074EC4">
        <w:t>l</w:t>
      </w:r>
      <w:r>
        <w:t>egislativo de armonización tributaria con el fin de que, en lo relativo a los mencionados impuestos, se apliquen en la Comunidad Foral idénticas normas sustantivas y formales que las vigentes en el Estado.</w:t>
      </w:r>
    </w:p>
    <w:p w14:paraId="065757D7" w14:textId="77777777" w:rsidR="00074EC4" w:rsidRDefault="00074EC4"/>
    <w:p w14:paraId="725A63CA" w14:textId="321F3DC2" w:rsidR="00062064" w:rsidRDefault="008063FE">
      <w:r>
        <w:t xml:space="preserve">En consecuencia, el Gobierno de Navarra, a propuesta del Consejero de Economía y Hacienda, y de conformidad con la decisión adoptada por el Gobierno de Navarra en sesión celebrada el día </w:t>
      </w:r>
      <w:r w:rsidR="00074EC4">
        <w:t>uno</w:t>
      </w:r>
      <w:r>
        <w:t xml:space="preserve"> de </w:t>
      </w:r>
      <w:r w:rsidR="00074EC4">
        <w:t>abril</w:t>
      </w:r>
      <w:r>
        <w:t xml:space="preserve"> de dos mil veintiséis,</w:t>
      </w:r>
    </w:p>
    <w:p w14:paraId="7390F8FD" w14:textId="77777777" w:rsidR="00074EC4" w:rsidRDefault="00074EC4"/>
    <w:p w14:paraId="10B33F49" w14:textId="7A7C4B58" w:rsidR="00062064" w:rsidRDefault="008063FE">
      <w:r>
        <w:t>DECRETO:</w:t>
      </w:r>
    </w:p>
    <w:p w14:paraId="0D636270" w14:textId="77777777" w:rsidR="00074EC4" w:rsidRDefault="00074EC4"/>
    <w:p w14:paraId="478F9395" w14:textId="36D5EEE1" w:rsidR="00062064" w:rsidRDefault="008063FE">
      <w:r>
        <w:t>Artículo 1. Determinación de la base imponible y del importe de los pagos fraccionados del Impuesto sobre el Valor de la Producción de Energía Eléctrica durante el ejercicio 2026.</w:t>
      </w:r>
    </w:p>
    <w:p w14:paraId="483A1118" w14:textId="77777777" w:rsidR="00074EC4" w:rsidRDefault="00074EC4"/>
    <w:p w14:paraId="6A1DA094" w14:textId="6712CB3D" w:rsidR="00062064" w:rsidRDefault="008063FE">
      <w:r>
        <w:t xml:space="preserve">1. Para el ejercicio 2026 la base imponible del Impuesto sobre el Valor de la Producción de Energía Eléctrica estará constituida por el importe total que corresponda percibir al contribuyente por la producción e incorporación al sistema eléctrico de energía eléctrica, medida en barras de central, por cada instalación, en el período impositivo minorada en el 10 </w:t>
      </w:r>
      <w:r>
        <w:lastRenderedPageBreak/>
        <w:t>por ciento de las retribuciones correspondientes a la electricidad incorporada al sistema durante el primer trimestre natural, y minorada en la totalidad de las retribuciones correspondientes a la electricidad incorporada al sistema durante el segundo trimestre natural.</w:t>
      </w:r>
    </w:p>
    <w:p w14:paraId="570BE263" w14:textId="77777777" w:rsidR="00074EC4" w:rsidRDefault="00074EC4"/>
    <w:p w14:paraId="0DA64BB9" w14:textId="5190D81E" w:rsidR="00062064" w:rsidRDefault="008063FE">
      <w:r>
        <w:t>2. El pago fraccionado del primer trimestre se calculará en función del valor de la producción de energía eléctrica, medida en barras de central, e incorporada al sistema eléctrico desde el inicio del período impositivo hasta la finalización de los tres primeros meses del año, minorado en el 10 por ciento del importe de las retribuciones correspondientes a la electricidad incorporada al sistema durante ese trimestre natural, aplicándose el tipo impositivo del 7 por ciento.</w:t>
      </w:r>
    </w:p>
    <w:p w14:paraId="3CBFDE60" w14:textId="77777777" w:rsidR="00074EC4" w:rsidRDefault="00074EC4"/>
    <w:p w14:paraId="3FB3B8A5" w14:textId="2107FC32" w:rsidR="00062064" w:rsidRDefault="008063FE">
      <w:r>
        <w:t>El pago fraccionado del segundo trimestre se calculará en función del valor de la producción de energía eléctrica, medida en barras de central, e incorporada al sistema eléctrico desde el inicio del período impositivo hasta la finalización de los seis primeros meses del año, minorado en el 10 por ciento del importe de las retribuciones correspondientes a la electricidad incorporada al sistema durante el primer trimestre natural y en la totalidad del importe de las retribuciones correspondientes a la electricidad incorporada al sistema durante el segundo  trimestre natural, aplicándose el tipo impositivo del 7 por ciento y deduciendo el importe de los pagos fraccionados previamente realizados a cuenta del ejercicio 2026.</w:t>
      </w:r>
    </w:p>
    <w:p w14:paraId="4A62E14E" w14:textId="77777777" w:rsidR="00074EC4" w:rsidRDefault="00074EC4"/>
    <w:p w14:paraId="6CBF73DF" w14:textId="0E543053" w:rsidR="00062064" w:rsidRDefault="008063FE">
      <w:r>
        <w:lastRenderedPageBreak/>
        <w:t>Los pagos fraccionados del tercer y cuarto trimestre se calcularán en función del valor de la producción de energía eléctrica, medida en barras de central,  incorporada al sistema eléctrico desde el inicio del período impositivo hasta la finalización, respectivamente, de los nueve o doce meses del año, minorado en el 10 por ciento del importe de las retribuciones correspondientes a la electricidad incorporada al sistema durante el primer trimestre natural y en la totalidad del importe de las retribuciones correspondientes a la electricidad incorporada al sistema durante el segundo trimestre natural, aplicándose el tipo impositivo del 7 por ciento y deduciendo el importe de los pagos fraccionados previamente realizados a cuenta del ejercicio 2026.</w:t>
      </w:r>
    </w:p>
    <w:p w14:paraId="4ECE913B" w14:textId="77777777" w:rsidR="00074EC4" w:rsidRDefault="00074EC4"/>
    <w:p w14:paraId="07CD1B5D" w14:textId="13B4DF42" w:rsidR="00062064" w:rsidRDefault="008063FE">
      <w:r>
        <w:t>Artículo 2. Tipo impositivo aplicable del Impuesto sobre el Valor Añadido a determinadas entregas y adquisiciones intracomunitarias de productos energéticos.</w:t>
      </w:r>
    </w:p>
    <w:p w14:paraId="1CE5B055" w14:textId="77777777" w:rsidR="00074EC4" w:rsidRDefault="00074EC4"/>
    <w:p w14:paraId="629F813F" w14:textId="4660F416" w:rsidR="00062064" w:rsidRDefault="008063FE">
      <w:r>
        <w:t>Con efectos desde el 22 de marzo de 2026 y vigencia hasta el 30 de junio de 2026, se aplicará el tipo del 10 por ciento del Impuesto sobre el Valor Añadido a las entregas y adquisiciones intracomunitarias de:</w:t>
      </w:r>
    </w:p>
    <w:p w14:paraId="1080BE5F" w14:textId="77777777" w:rsidR="00C5054F" w:rsidRDefault="00C5054F"/>
    <w:p w14:paraId="1C2E2C26" w14:textId="2452A5BD" w:rsidR="00062064" w:rsidRDefault="008063FE">
      <w:r>
        <w:t>a) energía eléctrica efectuadas a favor de:</w:t>
      </w:r>
    </w:p>
    <w:p w14:paraId="11AD1124" w14:textId="77777777" w:rsidR="00C5054F" w:rsidRDefault="00C5054F"/>
    <w:p w14:paraId="3260749D" w14:textId="513F0CF5" w:rsidR="00062064" w:rsidRDefault="008063FE">
      <w:r>
        <w:t>– Titulares de contratos de suministro de electricidad, cuya potencia contratada (término fijo de potencia) sea inferior a 10 kW, con independencia del nivel de tensión del suministro y la modalidad de contratación.</w:t>
      </w:r>
    </w:p>
    <w:p w14:paraId="7AE0E0DA" w14:textId="77777777" w:rsidR="007353B4" w:rsidRDefault="007353B4"/>
    <w:p w14:paraId="39667776" w14:textId="07E5CD10" w:rsidR="00062064" w:rsidRDefault="008063FE">
      <w:r>
        <w:t>– Titulares de contratos de suministro de electricidad que sean perceptores del bono social de electricidad y tengan reconocida la condición de vulnerable severo o vulnerable severo en riesgo de exclusión social, de conformidad con lo establecido en el Real Decreto 897/2017, de 6 de octubre, por el que se regula la figura del consumidor vulnerable, el bono social y otras medidas de protección para los consumidores domésticos de energía eléctrica.</w:t>
      </w:r>
    </w:p>
    <w:p w14:paraId="15F88182" w14:textId="77777777" w:rsidR="00C5054F" w:rsidRDefault="00C5054F"/>
    <w:p w14:paraId="2B01CE33" w14:textId="1E89B9B4" w:rsidR="00062064" w:rsidRDefault="008063FE">
      <w:r>
        <w:t>Si en el mes de abril la variación del Índice de Precios de Consumo (IPC) de la electricidad no supera en más de un 15 por ciento el IPC del mismo mes del año anterior, de acuerdo con la información que publique en mayo el Instituto Nacional de Estadística, la reducción del tipo regulada en esta letra dejará de aplicarse en el mes de junio.</w:t>
      </w:r>
    </w:p>
    <w:p w14:paraId="24A5F054" w14:textId="77777777" w:rsidR="00C5054F" w:rsidRDefault="00C5054F"/>
    <w:p w14:paraId="7F503651" w14:textId="34628C12" w:rsidR="00062064" w:rsidRDefault="008063FE">
      <w:r>
        <w:t>b) gas natural, briquetas y pellets procedentes de la biomasa, y madera para leña.</w:t>
      </w:r>
    </w:p>
    <w:p w14:paraId="43A46528" w14:textId="77777777" w:rsidR="00C5054F" w:rsidRDefault="00C5054F"/>
    <w:p w14:paraId="4340BFAE" w14:textId="201094C7" w:rsidR="00062064" w:rsidRDefault="008063FE">
      <w:r>
        <w:t>Si en el mes de abril la variación del IPC del gas no supera en más de un 15 por ciento el IPC del mismo mes del año anterior, de acuerdo con la información que publique en mayo el Instituto Nacional de Estadística, la reducción del tipo regulada en esta letra dejará de aplicarse en el mes de junio.</w:t>
      </w:r>
    </w:p>
    <w:p w14:paraId="37286006" w14:textId="77777777" w:rsidR="00C5054F" w:rsidRDefault="00C5054F"/>
    <w:p w14:paraId="26065299" w14:textId="4080A0AB" w:rsidR="00062064" w:rsidRDefault="008063FE">
      <w:r>
        <w:t xml:space="preserve">c) gasolinas, gasóleos y biocarburantes destinados a ser usados como carburante comprendidos en los epígrafes 1.2.1, 1.2.2, 1.3, 1.4, 1.5, 1.6, 1.8, 1.12,1.13, 1.14 y 1.15 de la tarifa 1.ª del artículo </w:t>
      </w:r>
      <w:r>
        <w:lastRenderedPageBreak/>
        <w:t>50.1 de la Ley 38/1992, de 28 de diciembre, de Impuestos Especiales.</w:t>
      </w:r>
    </w:p>
    <w:p w14:paraId="21A0A820" w14:textId="77777777" w:rsidR="00C5054F" w:rsidRDefault="00C5054F"/>
    <w:p w14:paraId="5B9B8FFF" w14:textId="53B1A3BA" w:rsidR="00062064" w:rsidRDefault="008063FE">
      <w:r>
        <w:t>Si en el mes de abril la variación del IPC de los carburantes no supera en más de un 15 por ciento el IPC del mismo mes del año anterior, de acuerdo con la información que publique en mayo el Instituto Nacional de Estadística, la reducción del tipo regulada en esta letra dejará de aplicarse en el mes de junio.</w:t>
      </w:r>
    </w:p>
    <w:p w14:paraId="60E2FB46" w14:textId="77777777" w:rsidR="00C5054F" w:rsidRDefault="00C5054F"/>
    <w:p w14:paraId="79F0105C" w14:textId="77326333" w:rsidR="00062064" w:rsidRDefault="008063FE">
      <w:r>
        <w:t>Artículo 3. Modificación de la Ley Foral del Impuesto sobre el Valor Añadido.</w:t>
      </w:r>
    </w:p>
    <w:p w14:paraId="63148FAA" w14:textId="77777777" w:rsidR="00C5054F" w:rsidRDefault="00C5054F"/>
    <w:p w14:paraId="09B09AC0" w14:textId="47EDC163" w:rsidR="00062064" w:rsidRDefault="008063FE">
      <w:r>
        <w:t>El artículo 69.</w:t>
      </w:r>
      <w:proofErr w:type="gramStart"/>
      <w:r>
        <w:t>2.6.º</w:t>
      </w:r>
      <w:proofErr w:type="gramEnd"/>
      <w:r>
        <w:t>, primer párrafo, de la Ley Foral 19/1992, de 30 de diciembre, del Impuesto sobre el Valor Añadido, quedará redactado del siguiente modo:</w:t>
      </w:r>
    </w:p>
    <w:p w14:paraId="0720DD5E" w14:textId="77777777" w:rsidR="00C5054F" w:rsidRDefault="00C5054F"/>
    <w:p w14:paraId="572D7F01" w14:textId="4650B9F2" w:rsidR="00062064" w:rsidRDefault="008063FE">
      <w:r>
        <w:t>“6.º Aquellos empresarios o profesionales cuyas adquisiciones e importaciones de bienes y servicios para el conjunto de sus actividades empresariales o profesionales, excluidas las relativas a elementos del inmovilizado, hayan superado en el año inmediato anterior el importe establecido a estos efectos por la normativa estatal</w:t>
      </w:r>
      <w:r w:rsidR="0061713D">
        <w:t>”.</w:t>
      </w:r>
    </w:p>
    <w:p w14:paraId="2E1C516D" w14:textId="77777777" w:rsidR="00C5054F" w:rsidRDefault="00C5054F"/>
    <w:p w14:paraId="076E3F9B" w14:textId="405CD44F" w:rsidR="00062064" w:rsidRDefault="008063FE">
      <w:r>
        <w:t>Artículo 4. Modificación del Reglamento del Impuesto sobre el Valor Añadido.</w:t>
      </w:r>
    </w:p>
    <w:p w14:paraId="4449C34D" w14:textId="77777777" w:rsidR="00C5054F" w:rsidRDefault="00C5054F"/>
    <w:p w14:paraId="2B8AC28D" w14:textId="10214A3E" w:rsidR="00062064" w:rsidRDefault="008063FE">
      <w:r>
        <w:t>Los preceptos del Reglamento del Impuesto sobre el Valor Añadido, aprobado por Decreto Foral 86/1993, de 8 de marzo, que a continuación se relacionan, quedarán redactados del siguiente modo:</w:t>
      </w:r>
    </w:p>
    <w:p w14:paraId="6829F50D" w14:textId="77777777" w:rsidR="00C5054F" w:rsidRDefault="00C5054F"/>
    <w:p w14:paraId="05565944" w14:textId="54C2A494" w:rsidR="00062064" w:rsidRDefault="008063FE">
      <w:r>
        <w:lastRenderedPageBreak/>
        <w:t>Uno. Artículo 32.2.a).</w:t>
      </w:r>
    </w:p>
    <w:p w14:paraId="4A309563" w14:textId="77777777" w:rsidR="00C5054F" w:rsidRDefault="00C5054F"/>
    <w:p w14:paraId="5CAB4876" w14:textId="1A6DF17D" w:rsidR="00062064" w:rsidRDefault="008063FE">
      <w:r>
        <w:t>“a) Los sujetos pasivos que superen, para el conjunto de las operaciones relativas a las actividades agrícolas, forestales, ganaderas y pesqueras a las que hubiese resultado aplicable el régimen especial de la agricultura, ganadería y pesca y el régimen simplificado, el importe establecido a estos efectos por la normativa estatal</w:t>
      </w:r>
      <w:r w:rsidR="0061713D">
        <w:t>”.</w:t>
      </w:r>
    </w:p>
    <w:p w14:paraId="117A6F47" w14:textId="77777777" w:rsidR="00C5054F" w:rsidRDefault="00C5054F"/>
    <w:p w14:paraId="3207D100" w14:textId="35B45CCC" w:rsidR="00062064" w:rsidRDefault="008063FE">
      <w:r>
        <w:t>Dos. Artículo 32.3.</w:t>
      </w:r>
    </w:p>
    <w:p w14:paraId="6358E19D" w14:textId="77777777" w:rsidR="00C5054F" w:rsidRDefault="00C5054F"/>
    <w:p w14:paraId="70E9C9AF" w14:textId="3A5CB581" w:rsidR="00062064" w:rsidRDefault="008063FE">
      <w:r>
        <w:t>“3. La determinación del importe de operaciones a que se refiere el apartado anterior se efectuará aplicando las siguientes reglas:</w:t>
      </w:r>
    </w:p>
    <w:p w14:paraId="11ABE7B0" w14:textId="77777777" w:rsidR="00C5054F" w:rsidRDefault="00C5054F"/>
    <w:p w14:paraId="53EB32DD" w14:textId="2244046C" w:rsidR="00062064" w:rsidRDefault="008063FE">
      <w:r>
        <w:t>a) En el caso de operaciones realizadas en el desarrollo de actividades a las que se refiere el apartado 2.a), se computarán únicamente aquellas que deban anotarse en los libros registro a que se refieren los artículos 29.1.c) y 36.1.</w:t>
      </w:r>
    </w:p>
    <w:p w14:paraId="266A682C" w14:textId="77777777" w:rsidR="00C5054F" w:rsidRDefault="00C5054F"/>
    <w:p w14:paraId="010B1E88" w14:textId="5A6F2229" w:rsidR="00062064" w:rsidRDefault="008063FE">
      <w:r>
        <w:t>b) En el caso de operaciones realizadas en el desarrollo de actividades a las que se refiere el apartado 2.b), éstas se computarán según lo dispuesto en el artículo 66 de la ley foral del impuesto. No obstante, no se computarán las operaciones de arrendamiento de bienes inmuebles cuya realización no suponga el desarrollo de una actividad económica de acuerdo con lo dispuesto en la normativa reguladora del Impuesto sobre la Renta de las Personas Físicas</w:t>
      </w:r>
      <w:r w:rsidR="0061713D">
        <w:t>”.</w:t>
      </w:r>
    </w:p>
    <w:p w14:paraId="04456BF0" w14:textId="77777777" w:rsidR="00C5054F" w:rsidRDefault="00C5054F"/>
    <w:p w14:paraId="229EFD82" w14:textId="7016CC3E" w:rsidR="00062064" w:rsidRDefault="008063FE">
      <w:r>
        <w:lastRenderedPageBreak/>
        <w:t>Disposición final primera. Salvaguardia del rango de disposiciones reglamentarias.</w:t>
      </w:r>
    </w:p>
    <w:p w14:paraId="35A666CD" w14:textId="77777777" w:rsidR="00C5054F" w:rsidRDefault="00C5054F"/>
    <w:p w14:paraId="48701D3F" w14:textId="4948DD6F" w:rsidR="00062064" w:rsidRDefault="008063FE">
      <w:r>
        <w:t>Los preceptos del Reglamento del Impuesto sobre el Valor Añadido modificados en este decreto foral legislativo de armonización tributaria podrán ser modificados por decreto foral.</w:t>
      </w:r>
    </w:p>
    <w:p w14:paraId="0B63D9EC" w14:textId="77777777" w:rsidR="00C5054F" w:rsidRDefault="00C5054F"/>
    <w:p w14:paraId="101EE7FF" w14:textId="0C59AD97" w:rsidR="00062064" w:rsidRDefault="008063FE">
      <w:r>
        <w:t>Disposición final segunda. Entrada en vigor.</w:t>
      </w:r>
    </w:p>
    <w:p w14:paraId="67653532" w14:textId="77777777" w:rsidR="00C5054F" w:rsidRDefault="00C5054F"/>
    <w:p w14:paraId="0CB6E53A" w14:textId="6C4D7E3D" w:rsidR="00062064" w:rsidRDefault="008063FE">
      <w:r>
        <w:t xml:space="preserve">El presente </w:t>
      </w:r>
      <w:r w:rsidR="00C5054F">
        <w:t>d</w:t>
      </w:r>
      <w:r>
        <w:t xml:space="preserve">ecreto </w:t>
      </w:r>
      <w:r w:rsidR="00C5054F">
        <w:t>f</w:t>
      </w:r>
      <w:r>
        <w:t xml:space="preserve">oral </w:t>
      </w:r>
      <w:r w:rsidR="00C5054F">
        <w:t>l</w:t>
      </w:r>
      <w:r>
        <w:t>egislativo de armonización tributaria entrará en vigor el día siguiente al de su publicación en el Boletín Oficial de Navarra con los efectos en él establecidos.</w:t>
      </w:r>
    </w:p>
    <w:p w14:paraId="73F0DFCB" w14:textId="77777777" w:rsidR="00C5054F" w:rsidRDefault="00C5054F"/>
    <w:p w14:paraId="4AF69420" w14:textId="74021279" w:rsidR="00CF4538" w:rsidRPr="00914D58" w:rsidRDefault="00CF4538" w:rsidP="00E24C7B">
      <w:pPr>
        <w:widowControl w:val="0"/>
        <w:tabs>
          <w:tab w:val="left" w:pos="709"/>
          <w:tab w:val="center" w:pos="3856"/>
        </w:tabs>
        <w:rPr>
          <w:lang w:val="es-ES_tradnl"/>
        </w:rPr>
      </w:pPr>
      <w:r w:rsidRPr="00914D58">
        <w:rPr>
          <w:lang w:val="es-ES_tradnl"/>
        </w:rPr>
        <w:t xml:space="preserve">Pamplona, </w:t>
      </w:r>
      <w:bookmarkStart w:id="0" w:name="Fecha"/>
      <w:r>
        <w:t>uno de abril de dos mil veintiséis</w:t>
      </w:r>
      <w:bookmarkEnd w:id="0"/>
      <w:r w:rsidRPr="00914D58">
        <w:rPr>
          <w:lang w:val="es-ES_tradnl"/>
        </w:rPr>
        <w:t>.</w:t>
      </w:r>
    </w:p>
    <w:p w14:paraId="69DB42A0" w14:textId="256ABCE9" w:rsidR="00D82355" w:rsidRDefault="00D82355" w:rsidP="00E24C7B">
      <w:pPr>
        <w:widowControl w:val="0"/>
        <w:tabs>
          <w:tab w:val="left" w:pos="709"/>
          <w:tab w:val="center" w:pos="3856"/>
        </w:tabs>
        <w:rPr>
          <w:lang w:val="es-ES_tradnl"/>
        </w:rPr>
      </w:pPr>
    </w:p>
    <w:tbl>
      <w:tblPr>
        <w:tblW w:w="8234" w:type="dxa"/>
        <w:jc w:val="right"/>
        <w:tblLayout w:type="fixed"/>
        <w:tblCellMar>
          <w:left w:w="70" w:type="dxa"/>
          <w:right w:w="70" w:type="dxa"/>
        </w:tblCellMar>
        <w:tblLook w:val="0000" w:firstRow="0" w:lastRow="0" w:firstColumn="0" w:lastColumn="0" w:noHBand="0" w:noVBand="0"/>
      </w:tblPr>
      <w:tblGrid>
        <w:gridCol w:w="8234"/>
      </w:tblGrid>
      <w:tr w:rsidR="00E61B39" w:rsidRPr="00E61B39" w14:paraId="1063D979" w14:textId="77777777" w:rsidTr="00E61B39">
        <w:trPr>
          <w:jc w:val="right"/>
        </w:trPr>
        <w:tc>
          <w:tcPr>
            <w:tcW w:w="8234" w:type="dxa"/>
            <w:tcBorders>
              <w:left w:val="nil"/>
            </w:tcBorders>
            <w:vAlign w:val="center"/>
          </w:tcPr>
          <w:p w14:paraId="1A6ADB18" w14:textId="77777777" w:rsidR="00E61B39" w:rsidRPr="00E61B39" w:rsidRDefault="00E61B39" w:rsidP="00E61B39">
            <w:pPr>
              <w:keepNext/>
              <w:keepLines/>
              <w:tabs>
                <w:tab w:val="left" w:pos="4611"/>
                <w:tab w:val="center" w:pos="8104"/>
              </w:tabs>
              <w:ind w:left="3902" w:firstLine="0"/>
              <w:jc w:val="center"/>
              <w:rPr>
                <w:lang w:val="es-ES_tradnl"/>
              </w:rPr>
            </w:pPr>
            <w:r w:rsidRPr="00E61B39">
              <w:rPr>
                <w:lang w:val="es-ES_tradnl"/>
              </w:rPr>
              <w:t>LA PRESIDENTA DEL GOBIERNO</w:t>
            </w:r>
          </w:p>
        </w:tc>
      </w:tr>
      <w:tr w:rsidR="00E61B39" w:rsidRPr="00E61B39" w14:paraId="090A0DA6" w14:textId="77777777" w:rsidTr="00E61B39">
        <w:trPr>
          <w:jc w:val="right"/>
        </w:trPr>
        <w:tc>
          <w:tcPr>
            <w:tcW w:w="8234" w:type="dxa"/>
            <w:tcBorders>
              <w:left w:val="nil"/>
            </w:tcBorders>
            <w:vAlign w:val="center"/>
          </w:tcPr>
          <w:p w14:paraId="619AC1CF" w14:textId="77777777" w:rsidR="00E61B39" w:rsidRPr="00E61B39" w:rsidRDefault="00E61B39" w:rsidP="00E61B39">
            <w:pPr>
              <w:keepNext/>
              <w:keepLines/>
              <w:tabs>
                <w:tab w:val="left" w:pos="4611"/>
                <w:tab w:val="center" w:pos="8104"/>
              </w:tabs>
              <w:ind w:left="3902" w:firstLine="0"/>
              <w:jc w:val="center"/>
              <w:rPr>
                <w:lang w:val="es-ES_tradnl"/>
              </w:rPr>
            </w:pPr>
            <w:r w:rsidRPr="00E61B39">
              <w:rPr>
                <w:lang w:val="es-ES_tradnl"/>
              </w:rPr>
              <w:t>DE NAVARRA</w:t>
            </w:r>
          </w:p>
        </w:tc>
      </w:tr>
      <w:tr w:rsidR="00E61B39" w:rsidRPr="00E61B39" w14:paraId="45D80708" w14:textId="77777777" w:rsidTr="00E61B39">
        <w:trPr>
          <w:trHeight w:val="1600"/>
          <w:jc w:val="right"/>
        </w:trPr>
        <w:tc>
          <w:tcPr>
            <w:tcW w:w="8234" w:type="dxa"/>
            <w:tcBorders>
              <w:left w:val="nil"/>
            </w:tcBorders>
          </w:tcPr>
          <w:p w14:paraId="61BA5EE9" w14:textId="77777777" w:rsidR="00E61B39" w:rsidRPr="00E61B39" w:rsidRDefault="00E61B39" w:rsidP="00E61B39">
            <w:pPr>
              <w:keepNext/>
              <w:keepLines/>
              <w:tabs>
                <w:tab w:val="left" w:pos="4611"/>
                <w:tab w:val="center" w:pos="8104"/>
              </w:tabs>
              <w:ind w:left="3902" w:firstLine="0"/>
              <w:rPr>
                <w:lang w:val="es-ES_tradnl"/>
              </w:rPr>
            </w:pPr>
          </w:p>
        </w:tc>
      </w:tr>
      <w:tr w:rsidR="00E61B39" w:rsidRPr="00E61B39" w14:paraId="11C8CC94" w14:textId="77777777" w:rsidTr="00E61B39">
        <w:trPr>
          <w:jc w:val="right"/>
        </w:trPr>
        <w:tc>
          <w:tcPr>
            <w:tcW w:w="8234" w:type="dxa"/>
            <w:tcBorders>
              <w:left w:val="nil"/>
            </w:tcBorders>
            <w:vAlign w:val="center"/>
          </w:tcPr>
          <w:p w14:paraId="0B929773" w14:textId="77777777" w:rsidR="00E61B39" w:rsidRPr="00E61B39" w:rsidRDefault="00E61B39" w:rsidP="00E61B39">
            <w:pPr>
              <w:keepNext/>
              <w:keepLines/>
              <w:tabs>
                <w:tab w:val="left" w:pos="4611"/>
                <w:tab w:val="center" w:pos="8104"/>
              </w:tabs>
              <w:ind w:left="3902" w:firstLine="0"/>
              <w:jc w:val="center"/>
              <w:rPr>
                <w:lang w:val="es-ES_tradnl"/>
              </w:rPr>
            </w:pPr>
            <w:r w:rsidRPr="00E61B39">
              <w:rPr>
                <w:lang w:val="es-ES_tradnl"/>
              </w:rPr>
              <w:t>María Chivite Navascués</w:t>
            </w:r>
          </w:p>
        </w:tc>
      </w:tr>
    </w:tbl>
    <w:p w14:paraId="56245B0B" w14:textId="02CC8680" w:rsidR="004704E5" w:rsidRPr="00914D58" w:rsidRDefault="00E61B39" w:rsidP="00B93164">
      <w:pPr>
        <w:widowControl w:val="0"/>
        <w:tabs>
          <w:tab w:val="left" w:pos="709"/>
          <w:tab w:val="center" w:pos="3856"/>
        </w:tabs>
        <w:rPr>
          <w:lang w:val="es-ES_tradnl"/>
        </w:rPr>
      </w:pPr>
      <w:r>
        <w:rPr>
          <w:lang w:val="es-ES_tradnl"/>
        </w:rPr>
        <w:tab/>
      </w:r>
      <w:bookmarkStart w:id="1" w:name="Firma"/>
      <w:bookmarkEnd w:id="1"/>
    </w:p>
    <w:tbl>
      <w:tblPr>
        <w:tblW w:w="8647" w:type="dxa"/>
        <w:tblLayout w:type="fixed"/>
        <w:tblCellMar>
          <w:left w:w="70" w:type="dxa"/>
          <w:right w:w="70" w:type="dxa"/>
        </w:tblCellMar>
        <w:tblLook w:val="0000" w:firstRow="0" w:lastRow="0" w:firstColumn="0" w:lastColumn="0" w:noHBand="0" w:noVBand="0"/>
      </w:tblPr>
      <w:tblGrid>
        <w:gridCol w:w="5812"/>
        <w:gridCol w:w="2835"/>
      </w:tblGrid>
      <w:tr w:rsidR="001D7FC2" w14:paraId="680E3589" w14:textId="77777777" w:rsidTr="00D24E90">
        <w:trPr>
          <w:trHeight w:val="182"/>
        </w:trPr>
        <w:tc>
          <w:tcPr>
            <w:tcW w:w="5812" w:type="dxa"/>
            <w:vAlign w:val="center"/>
          </w:tcPr>
          <w:p w14:paraId="7F2E181F" w14:textId="2B4EF49B" w:rsidR="004B5194" w:rsidRDefault="008063FE" w:rsidP="00DC0F4A">
            <w:pPr>
              <w:jc w:val="center"/>
            </w:pPr>
            <w:r>
              <w:t xml:space="preserve">EL CONSEJERO DE ECONOMÍA </w:t>
            </w:r>
          </w:p>
          <w:p w14:paraId="4FC846D7" w14:textId="5246146E" w:rsidR="001D7FC2" w:rsidRDefault="008063FE" w:rsidP="00DC0F4A">
            <w:pPr>
              <w:jc w:val="center"/>
              <w:rPr>
                <w:rFonts w:ascii="Courier (W1)" w:hAnsi="Courier (W1)"/>
              </w:rPr>
            </w:pPr>
            <w:r>
              <w:t>Y HACIENDA</w:t>
            </w:r>
          </w:p>
        </w:tc>
        <w:tc>
          <w:tcPr>
            <w:tcW w:w="2835" w:type="dxa"/>
          </w:tcPr>
          <w:p w14:paraId="51529440" w14:textId="77777777" w:rsidR="001D7FC2" w:rsidRDefault="0061713D">
            <w:pPr>
              <w:rPr>
                <w:rFonts w:ascii="Courier (W1)" w:hAnsi="Courier (W1)"/>
              </w:rPr>
            </w:pPr>
          </w:p>
        </w:tc>
      </w:tr>
      <w:tr w:rsidR="001D7FC2" w14:paraId="61AD1E44" w14:textId="77777777" w:rsidTr="00D24E90">
        <w:trPr>
          <w:trHeight w:val="1600"/>
        </w:trPr>
        <w:tc>
          <w:tcPr>
            <w:tcW w:w="5812" w:type="dxa"/>
            <w:tcBorders>
              <w:bottom w:val="nil"/>
            </w:tcBorders>
          </w:tcPr>
          <w:p w14:paraId="0428C441" w14:textId="77777777" w:rsidR="001D7FC2" w:rsidRDefault="0061713D" w:rsidP="00DC0F4A">
            <w:pPr>
              <w:rPr>
                <w:rFonts w:ascii="Courier (W1)" w:hAnsi="Courier (W1)"/>
              </w:rPr>
            </w:pPr>
          </w:p>
        </w:tc>
        <w:tc>
          <w:tcPr>
            <w:tcW w:w="2835" w:type="dxa"/>
            <w:tcBorders>
              <w:bottom w:val="nil"/>
            </w:tcBorders>
          </w:tcPr>
          <w:p w14:paraId="2AFDB247" w14:textId="77777777" w:rsidR="001D7FC2" w:rsidRDefault="0061713D">
            <w:pPr>
              <w:rPr>
                <w:rFonts w:ascii="Courier (W1)" w:hAnsi="Courier (W1)"/>
              </w:rPr>
            </w:pPr>
          </w:p>
        </w:tc>
      </w:tr>
      <w:tr w:rsidR="001D7FC2" w14:paraId="2BC8686C" w14:textId="77777777" w:rsidTr="00D24E90">
        <w:trPr>
          <w:trHeight w:val="450"/>
        </w:trPr>
        <w:tc>
          <w:tcPr>
            <w:tcW w:w="5812" w:type="dxa"/>
          </w:tcPr>
          <w:p w14:paraId="496EF3B0" w14:textId="12040928" w:rsidR="001D7FC2" w:rsidRDefault="008063FE" w:rsidP="00DC0F4A">
            <w:pPr>
              <w:jc w:val="center"/>
              <w:rPr>
                <w:rFonts w:ascii="Courier (W1)" w:hAnsi="Courier (W1)"/>
              </w:rPr>
            </w:pPr>
            <w:r>
              <w:t>José Luis Arasti Pérez</w:t>
            </w:r>
            <w:r>
              <w:rPr>
                <w:rFonts w:ascii="Courier (W1)" w:hAnsi="Courier (W1)"/>
              </w:rPr>
              <w:t xml:space="preserve"> </w:t>
            </w:r>
          </w:p>
        </w:tc>
        <w:tc>
          <w:tcPr>
            <w:tcW w:w="2835" w:type="dxa"/>
          </w:tcPr>
          <w:p w14:paraId="408790BD" w14:textId="77777777" w:rsidR="001D7FC2" w:rsidRDefault="0061713D">
            <w:pPr>
              <w:rPr>
                <w:rFonts w:ascii="Courier (W1)" w:hAnsi="Courier (W1)"/>
              </w:rPr>
            </w:pPr>
          </w:p>
        </w:tc>
      </w:tr>
    </w:tbl>
    <w:p w14:paraId="179A332E" w14:textId="77777777" w:rsidR="00062064" w:rsidRDefault="00062064"/>
    <w:sectPr w:rsidR="00062064">
      <w:footerReference w:type="even" r:id="rId10"/>
      <w:footerReference w:type="default" r:id="rId11"/>
      <w:type w:val="oddPage"/>
      <w:pgSz w:w="11907" w:h="16840"/>
      <w:pgMar w:top="2835" w:right="1134" w:bottom="1134" w:left="28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1810A" w14:textId="77777777" w:rsidR="00E74A3B" w:rsidRDefault="00E74A3B">
      <w:r>
        <w:separator/>
      </w:r>
    </w:p>
  </w:endnote>
  <w:endnote w:type="continuationSeparator" w:id="0">
    <w:p w14:paraId="49235056" w14:textId="77777777" w:rsidR="00E74A3B" w:rsidRDefault="00E7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1)">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71F4" w14:textId="77777777" w:rsidR="00F3452F" w:rsidRDefault="00F3452F">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2327070" w14:textId="77777777" w:rsidR="00F3452F" w:rsidRDefault="00F3452F">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49BB" w14:textId="77777777" w:rsidR="00F3452F" w:rsidRDefault="00F3452F">
    <w:pPr>
      <w:pStyle w:val="Piedepgina"/>
      <w:framePr w:wrap="around" w:vAnchor="text" w:hAnchor="margin" w:xAlign="outside" w:y="1"/>
      <w:rPr>
        <w:rStyle w:val="Nmerodepgina"/>
      </w:rPr>
    </w:pPr>
  </w:p>
  <w:p w14:paraId="46DD35F1" w14:textId="77777777" w:rsidR="00F3452F" w:rsidRDefault="00F3452F">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7898C" w14:textId="77777777" w:rsidR="00E74A3B" w:rsidRDefault="00E74A3B">
      <w:r>
        <w:separator/>
      </w:r>
    </w:p>
  </w:footnote>
  <w:footnote w:type="continuationSeparator" w:id="0">
    <w:p w14:paraId="2170BF99" w14:textId="77777777" w:rsidR="00E74A3B" w:rsidRDefault="00E74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4108F"/>
    <w:multiLevelType w:val="singleLevel"/>
    <w:tmpl w:val="67DE2B20"/>
    <w:lvl w:ilvl="0">
      <w:start w:val="1"/>
      <w:numFmt w:val="decimal"/>
      <w:pStyle w:val="Acuerdosvietas"/>
      <w:lvlText w:val="%1."/>
      <w:lvlJc w:val="left"/>
      <w:pPr>
        <w:tabs>
          <w:tab w:val="num" w:pos="360"/>
        </w:tabs>
        <w:ind w:left="360" w:hanging="360"/>
      </w:pPr>
    </w:lvl>
  </w:abstractNum>
  <w:abstractNum w:abstractNumId="1" w15:restartNumberingAfterBreak="0">
    <w:nsid w:val="51556FD9"/>
    <w:multiLevelType w:val="singleLevel"/>
    <w:tmpl w:val="7DEC5C42"/>
    <w:lvl w:ilvl="0">
      <w:start w:val="1"/>
      <w:numFmt w:val="decimal"/>
      <w:pStyle w:val="trasladosvietas"/>
      <w:lvlText w:val="%1."/>
      <w:lvlJc w:val="left"/>
      <w:pPr>
        <w:tabs>
          <w:tab w:val="num" w:pos="360"/>
        </w:tabs>
        <w:ind w:left="0" w:firstLine="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355"/>
    <w:rsid w:val="00031E5C"/>
    <w:rsid w:val="000334E2"/>
    <w:rsid w:val="00062064"/>
    <w:rsid w:val="00074EC4"/>
    <w:rsid w:val="0008429F"/>
    <w:rsid w:val="000B3964"/>
    <w:rsid w:val="000B5767"/>
    <w:rsid w:val="000F28AE"/>
    <w:rsid w:val="001300C9"/>
    <w:rsid w:val="001358E3"/>
    <w:rsid w:val="001618B1"/>
    <w:rsid w:val="00167004"/>
    <w:rsid w:val="00185EE8"/>
    <w:rsid w:val="001E6489"/>
    <w:rsid w:val="00234953"/>
    <w:rsid w:val="00271183"/>
    <w:rsid w:val="00274244"/>
    <w:rsid w:val="002863F9"/>
    <w:rsid w:val="00341FDF"/>
    <w:rsid w:val="00394284"/>
    <w:rsid w:val="003B5BB5"/>
    <w:rsid w:val="003F418E"/>
    <w:rsid w:val="00427D26"/>
    <w:rsid w:val="00432316"/>
    <w:rsid w:val="004704E5"/>
    <w:rsid w:val="004F37E3"/>
    <w:rsid w:val="004F57E9"/>
    <w:rsid w:val="005567A8"/>
    <w:rsid w:val="005D4140"/>
    <w:rsid w:val="00605D70"/>
    <w:rsid w:val="0061713D"/>
    <w:rsid w:val="00632AA4"/>
    <w:rsid w:val="00663B94"/>
    <w:rsid w:val="00685B81"/>
    <w:rsid w:val="006A24B2"/>
    <w:rsid w:val="006A5377"/>
    <w:rsid w:val="006C7DB1"/>
    <w:rsid w:val="00702123"/>
    <w:rsid w:val="0070598B"/>
    <w:rsid w:val="007353B4"/>
    <w:rsid w:val="00744ED7"/>
    <w:rsid w:val="00753650"/>
    <w:rsid w:val="00790E64"/>
    <w:rsid w:val="007D7349"/>
    <w:rsid w:val="007E24E0"/>
    <w:rsid w:val="007F6FEE"/>
    <w:rsid w:val="00802597"/>
    <w:rsid w:val="008063FE"/>
    <w:rsid w:val="00822BB8"/>
    <w:rsid w:val="00835124"/>
    <w:rsid w:val="008C6AE7"/>
    <w:rsid w:val="008D22CE"/>
    <w:rsid w:val="008D62A2"/>
    <w:rsid w:val="008E5450"/>
    <w:rsid w:val="008F63EF"/>
    <w:rsid w:val="00936EC9"/>
    <w:rsid w:val="00937001"/>
    <w:rsid w:val="00980252"/>
    <w:rsid w:val="009954E6"/>
    <w:rsid w:val="009A2156"/>
    <w:rsid w:val="009B1D06"/>
    <w:rsid w:val="009B4B27"/>
    <w:rsid w:val="00A65C8A"/>
    <w:rsid w:val="00A77E61"/>
    <w:rsid w:val="00A869A0"/>
    <w:rsid w:val="00A97C8E"/>
    <w:rsid w:val="00AB7E7E"/>
    <w:rsid w:val="00AC6D61"/>
    <w:rsid w:val="00AD7D43"/>
    <w:rsid w:val="00B42E2E"/>
    <w:rsid w:val="00B433AD"/>
    <w:rsid w:val="00B67620"/>
    <w:rsid w:val="00B93164"/>
    <w:rsid w:val="00BB4F61"/>
    <w:rsid w:val="00BF5501"/>
    <w:rsid w:val="00C05919"/>
    <w:rsid w:val="00C5054F"/>
    <w:rsid w:val="00CC0B30"/>
    <w:rsid w:val="00CF4538"/>
    <w:rsid w:val="00D7188C"/>
    <w:rsid w:val="00D82355"/>
    <w:rsid w:val="00D84266"/>
    <w:rsid w:val="00D91FDD"/>
    <w:rsid w:val="00DC1E2D"/>
    <w:rsid w:val="00DF795A"/>
    <w:rsid w:val="00E04FE8"/>
    <w:rsid w:val="00E24C7B"/>
    <w:rsid w:val="00E3750A"/>
    <w:rsid w:val="00E61B39"/>
    <w:rsid w:val="00E74A3B"/>
    <w:rsid w:val="00EB21AC"/>
    <w:rsid w:val="00EE7A58"/>
    <w:rsid w:val="00F26F7B"/>
    <w:rsid w:val="00F3452F"/>
    <w:rsid w:val="00F6407D"/>
    <w:rsid w:val="00F84B00"/>
    <w:rsid w:val="00FD0EB5"/>
    <w:rsid w:val="00FE55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6379A"/>
  <w15:chartTrackingRefBased/>
  <w15:docId w15:val="{12CA0BE1-3942-45AC-952D-3E36D3D5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Courier New"/>
        <w:sz w:val="24"/>
        <w:lang w:val="es-ES" w:eastAsia="es-ES" w:bidi="ar-SA"/>
      </w:rPr>
    </w:rPrDefault>
    <w:pPrDefault>
      <w:pPr>
        <w:spacing w:line="380" w:lineRule="atLeast"/>
        <w:ind w:firstLine="709"/>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23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raslados">
    <w:name w:val="traslados"/>
    <w:pPr>
      <w:tabs>
        <w:tab w:val="left" w:pos="709"/>
        <w:tab w:val="center" w:pos="3856"/>
      </w:tabs>
    </w:pPr>
    <w:rPr>
      <w:noProof/>
    </w:rPr>
  </w:style>
  <w:style w:type="paragraph" w:customStyle="1" w:styleId="Estilofirma">
    <w:name w:val="Estilofirma"/>
    <w:basedOn w:val="Normal"/>
    <w:pPr>
      <w:tabs>
        <w:tab w:val="left" w:pos="709"/>
        <w:tab w:val="center" w:pos="3856"/>
      </w:tabs>
    </w:pPr>
    <w:rPr>
      <w:rFonts w:ascii="Courier" w:hAnsi="Courier"/>
      <w:lang w:val="es-ES_tradnl"/>
    </w:rPr>
  </w:style>
  <w:style w:type="paragraph" w:customStyle="1" w:styleId="EstiloActas">
    <w:name w:val="EstiloActas"/>
    <w:pPr>
      <w:spacing w:line="360" w:lineRule="auto"/>
      <w:ind w:firstLine="851"/>
    </w:pPr>
    <w:rPr>
      <w:rFonts w:ascii="Arial" w:hAnsi="Arial"/>
      <w:noProof/>
      <w:sz w:val="22"/>
    </w:rPr>
  </w:style>
  <w:style w:type="paragraph" w:customStyle="1" w:styleId="Estiloindice">
    <w:name w:val="Estiloindice"/>
    <w:pPr>
      <w:tabs>
        <w:tab w:val="left" w:pos="567"/>
      </w:tabs>
      <w:spacing w:line="360" w:lineRule="auto"/>
      <w:ind w:left="1418" w:hanging="1418"/>
    </w:pPr>
    <w:rPr>
      <w:noProof/>
    </w:rPr>
  </w:style>
  <w:style w:type="paragraph" w:customStyle="1" w:styleId="Acuerdos">
    <w:name w:val="Acuerdos"/>
    <w:basedOn w:val="Normal"/>
    <w:pPr>
      <w:tabs>
        <w:tab w:val="left" w:pos="709"/>
        <w:tab w:val="center" w:pos="3856"/>
      </w:tabs>
    </w:pPr>
  </w:style>
  <w:style w:type="paragraph" w:customStyle="1" w:styleId="Acuerdosvietas">
    <w:name w:val="Acuerdosviñetas"/>
    <w:basedOn w:val="Acuerdos"/>
    <w:pPr>
      <w:numPr>
        <w:numId w:val="3"/>
      </w:numPr>
      <w:tabs>
        <w:tab w:val="clear" w:pos="360"/>
        <w:tab w:val="left" w:pos="1134"/>
      </w:tabs>
      <w:ind w:left="0" w:firstLine="709"/>
    </w:pPr>
  </w:style>
  <w:style w:type="paragraph" w:customStyle="1" w:styleId="trasladosvietas">
    <w:name w:val="trasladosviñetas"/>
    <w:basedOn w:val="traslados"/>
    <w:pPr>
      <w:numPr>
        <w:numId w:val="2"/>
      </w:numPr>
      <w:tabs>
        <w:tab w:val="clear" w:pos="360"/>
        <w:tab w:val="left" w:pos="1134"/>
      </w:tabs>
      <w:ind w:firstLine="709"/>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Encabezado">
    <w:name w:val="header"/>
    <w:basedOn w:val="Normal"/>
    <w:link w:val="EncabezadoCar"/>
    <w:rsid w:val="008D62A2"/>
    <w:pPr>
      <w:tabs>
        <w:tab w:val="center" w:pos="4252"/>
        <w:tab w:val="right" w:pos="8504"/>
      </w:tabs>
    </w:pPr>
  </w:style>
  <w:style w:type="character" w:customStyle="1" w:styleId="PiedepginaCar">
    <w:name w:val="Pie de página Car"/>
    <w:basedOn w:val="Fuentedeprrafopredeter"/>
    <w:link w:val="Piedepgina"/>
    <w:locked/>
    <w:rsid w:val="00D82355"/>
    <w:rPr>
      <w:rFonts w:ascii="Courier New" w:hAnsi="Courier New"/>
      <w:sz w:val="24"/>
      <w:szCs w:val="22"/>
      <w:lang w:val="es-ES" w:eastAsia="es-ES" w:bidi="ar-SA"/>
    </w:rPr>
  </w:style>
  <w:style w:type="character" w:customStyle="1" w:styleId="EncabezadoCar">
    <w:name w:val="Encabezado Car"/>
    <w:link w:val="Encabezado"/>
    <w:rsid w:val="00D82355"/>
    <w:rPr>
      <w:rFonts w:ascii="Courier New" w:hAnsi="Courier New"/>
      <w:sz w:val="24"/>
      <w:szCs w:val="22"/>
      <w:lang w:val="es-ES" w:eastAsia="es-ES" w:bidi="ar-SA"/>
    </w:rPr>
  </w:style>
  <w:style w:type="paragraph" w:styleId="Prrafodelista">
    <w:name w:val="List Paragraph"/>
    <w:basedOn w:val="Normal"/>
    <w:uiPriority w:val="34"/>
    <w:qFormat/>
    <w:rsid w:val="00074E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4214710ED2374A81781B27016F6BEF" ma:contentTypeVersion="0" ma:contentTypeDescription="Crear nuevo documento." ma:contentTypeScope="" ma:versionID="2cb745309278ebf914b9637c71a89fe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A3966E-3E47-4D68-A48C-647A87F52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D3E2FB-C2A3-4F9D-894B-DF98354A4537}">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EE11466-C362-47FA-8378-7E1091664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2352</Words>
  <Characters>12480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Fernández Pérez, Beatriz</cp:lastModifiedBy>
  <cp:revision>3</cp:revision>
  <dcterms:created xsi:type="dcterms:W3CDTF">2026-04-01T08:52:00Z</dcterms:created>
  <dcterms:modified xsi:type="dcterms:W3CDTF">2026-04-13T12:13:00Z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0x010100004214710ED2374A81781B27016F6BEF</vt:lpwstr>
  </property>
</Properties>
</file>