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9CD8" w14:textId="77777777" w:rsidR="002567D5" w:rsidRPr="00DD445C" w:rsidRDefault="002567D5" w:rsidP="002567D5">
      <w:pPr>
        <w:pStyle w:val="Default"/>
        <w:spacing w:after="120" w:line="276" w:lineRule="auto"/>
        <w:jc w:val="both"/>
        <w:rPr>
          <w:sz w:val="22"/>
          <w:szCs w:val="22"/>
          <w:rFonts w:ascii="Calibri" w:hAnsi="Calibri" w:cs="Calibri"/>
        </w:rPr>
      </w:pPr>
      <w:r>
        <w:rPr>
          <w:sz w:val="22"/>
          <w:rFonts w:ascii="Calibri" w:hAnsi="Calibri"/>
        </w:rPr>
        <w:t xml:space="preserve">2026ko apirilaren 13a</w:t>
      </w:r>
    </w:p>
    <w:p w14:paraId="01ABD57A" w14:textId="77777777" w:rsidR="005C57FC" w:rsidRPr="00DD445C" w:rsidRDefault="001F34F3" w:rsidP="002567D5">
      <w:pPr>
        <w:pStyle w:val="Default"/>
        <w:spacing w:after="120" w:line="276" w:lineRule="auto"/>
        <w:jc w:val="both"/>
        <w:rPr>
          <w:sz w:val="22"/>
          <w:szCs w:val="22"/>
          <w:rFonts w:ascii="Calibri" w:hAnsi="Calibri" w:cs="Calibri"/>
        </w:rPr>
      </w:pPr>
      <w:r>
        <w:rPr>
          <w:sz w:val="22"/>
          <w:rFonts w:ascii="Calibri" w:hAnsi="Calibri"/>
        </w:rPr>
        <w:t xml:space="preserve">EH Bildu talde parlamentarioari atxikitako foru parlamentari Adolfo Araiz Flamarique jaunak idatziz erantzuteko galdera egin du</w:t>
      </w:r>
      <w:r w:rsidR="006E1A20" w:rsidRPr="00DD445C">
        <w:rPr>
          <w:sz w:val="22"/>
          <w:rFonts w:ascii="Calibri" w:hAnsi="Calibri" w:cs="Calibri"/>
        </w:rPr>
        <w:fldChar w:fldCharType="begin" w:fldLock="true">
          <w:ffData>
            <w:name w:val="Texto5"/>
            <w:enabled/>
            <w:calcOnExit w:val="0"/>
            <w:textInput/>
          </w:ffData>
        </w:fldChar>
      </w:r>
      <w:bookmarkStart w:id="0" w:name="Texto5"/>
      <w:r w:rsidR="006E1A20" w:rsidRPr="00DD445C">
        <w:rPr>
          <w:sz w:val="22"/>
          <w:rFonts w:ascii="Calibri" w:hAnsi="Calibri" w:cs="Calibri"/>
        </w:rPr>
        <w:instrText xml:space="preserve"> FORMTEXT </w:instrText>
      </w:r>
      <w:r w:rsidR="006E1A20" w:rsidRPr="00DD445C">
        <w:rPr>
          <w:sz w:val="22"/>
          <w:rFonts w:ascii="Calibri" w:hAnsi="Calibri" w:cs="Calibri"/>
        </w:rPr>
      </w:r>
      <w:r w:rsidR="006E1A20" w:rsidRPr="00DD445C">
        <w:rPr>
          <w:sz w:val="22"/>
          <w:rFonts w:ascii="Calibri" w:hAnsi="Calibri" w:cs="Calibri"/>
        </w:rPr>
        <w:fldChar w:fldCharType="separate"/>
      </w:r>
      <w:r w:rsidR="006E1A20" w:rsidRPr="00DD445C">
        <w:rPr>
          <w:sz w:val="22"/>
          <w:rFonts w:ascii="Calibri" w:hAnsi="Calibri" w:cs="Calibri"/>
        </w:rPr>
        <w:fldChar w:fldCharType="end"/>
      </w:r>
      <w:bookmarkEnd w:id="0"/>
      <w:r>
        <w:rPr>
          <w:sz w:val="22"/>
          <w:rFonts w:ascii="Calibri" w:hAnsi="Calibri"/>
        </w:rPr>
        <w:t xml:space="preserve"> Geolcalik Perdón aldean baimenak ukatzearekin lotuta jarritako errekurtsoaren ebazpenari buruz (</w:t>
      </w:r>
      <w:r w:rsidR="00934B9A" w:rsidRPr="00934B9A">
        <w:rPr>
          <w:sz w:val="22"/>
          <w:rFonts w:ascii="Calibri" w:hAnsi="Calibri" w:cs="Calibri"/>
        </w:rPr>
        <w:fldChar w:fldCharType="begin" w:fldLock="true">
          <w:ffData>
            <w:name w:val="Texto5"/>
            <w:enabled/>
            <w:calcOnExit w:val="0"/>
            <w:textInput/>
          </w:ffData>
        </w:fldChar>
      </w:r>
      <w:r w:rsidR="00934B9A" w:rsidRPr="00934B9A">
        <w:rPr>
          <w:sz w:val="22"/>
          <w:rFonts w:ascii="Calibri" w:hAnsi="Calibri" w:cs="Calibri"/>
        </w:rPr>
        <w:instrText xml:space="preserve"> FORMTEXT </w:instrText>
      </w:r>
      <w:r w:rsidR="00934B9A" w:rsidRPr="00934B9A">
        <w:rPr>
          <w:sz w:val="22"/>
          <w:rFonts w:ascii="Calibri" w:hAnsi="Calibri" w:cs="Calibri"/>
        </w:rPr>
      </w:r>
      <w:r w:rsidR="00934B9A" w:rsidRPr="00934B9A">
        <w:rPr>
          <w:sz w:val="22"/>
          <w:rFonts w:ascii="Calibri" w:hAnsi="Calibri" w:cs="Calibri"/>
        </w:rPr>
        <w:fldChar w:fldCharType="separate"/>
      </w:r>
      <w:r w:rsidR="00934B9A" w:rsidRPr="00934B9A">
        <w:rPr>
          <w:sz w:val="22"/>
          <w:rFonts w:ascii="Calibri" w:hAnsi="Calibri" w:cs="Calibri"/>
        </w:rPr>
        <w:fldChar w:fldCharType="end"/>
      </w:r>
      <w:r>
        <w:rPr>
          <w:sz w:val="22"/>
          <w:rFonts w:ascii="Calibri" w:hAnsi="Calibri"/>
        </w:rPr>
        <w:t xml:space="preserve">11-26/PES-00071). Hona Nafarroako Gobernuko Industriako eta Enpresen Trantsizio Ekologiko eta Digitalerako Departamentuko kontseilariak ematen duen informazioa:</w:t>
      </w:r>
    </w:p>
    <w:p w14:paraId="382955FA" w14:textId="77777777" w:rsidR="00977DEF" w:rsidRPr="00DD445C" w:rsidRDefault="00977DEF" w:rsidP="002567D5">
      <w:pPr>
        <w:pStyle w:val="Default"/>
        <w:spacing w:after="120" w:line="276" w:lineRule="auto"/>
        <w:jc w:val="both"/>
        <w:rPr>
          <w:sz w:val="22"/>
          <w:szCs w:val="22"/>
          <w:rFonts w:ascii="Calibri" w:hAnsi="Calibri" w:cs="Calibri"/>
        </w:rPr>
      </w:pPr>
      <w:r>
        <w:rPr>
          <w:sz w:val="22"/>
          <w:rFonts w:ascii="Calibri" w:hAnsi="Calibri"/>
        </w:rPr>
        <w:t xml:space="preserve">2018ko azaroaren 16an, Geoalcali SLk aurkeztutako eskabidearen bidez adierazi zuen 109/2018 Ebazpena —Industria, Energia eta Berrikuntzako zuzendari nagusiak 2018ko urriaren 16an emana— jakinarazi zitzaiola. Ebazpenaren bidez, 35760 zenbakiko “Quiñones” ikerketa baimenaren luzapena ukatu zioten, eta iraungitzat jo zuten.</w:t>
      </w:r>
      <w:r>
        <w:rPr>
          <w:sz w:val="22"/>
          <w:rFonts w:ascii="Calibri" w:hAnsi="Calibri"/>
        </w:rPr>
        <w:t xml:space="preserve"> </w:t>
      </w:r>
    </w:p>
    <w:p w14:paraId="24D43B8E" w14:textId="77777777" w:rsidR="00977DEF" w:rsidRPr="00DD445C" w:rsidRDefault="00977DEF" w:rsidP="002567D5">
      <w:pPr>
        <w:pStyle w:val="Default"/>
        <w:spacing w:after="120" w:line="276" w:lineRule="auto"/>
        <w:jc w:val="both"/>
        <w:rPr>
          <w:sz w:val="22"/>
          <w:szCs w:val="22"/>
          <w:rFonts w:ascii="Calibri" w:hAnsi="Calibri" w:cs="Calibri"/>
        </w:rPr>
      </w:pPr>
      <w:r>
        <w:rPr>
          <w:sz w:val="22"/>
          <w:rFonts w:ascii="Calibri" w:hAnsi="Calibri"/>
        </w:rPr>
        <w:t xml:space="preserve">Ebazpen horrekin ados ez zegoenez, eta ebazpena zuzenbidearekin bat ez zetorrelakoan, gora jotzeko errekurtsoa aurkeztu zuen.</w:t>
      </w:r>
      <w:r>
        <w:rPr>
          <w:sz w:val="22"/>
          <w:rFonts w:ascii="Calibri" w:hAnsi="Calibri"/>
        </w:rPr>
        <w:t xml:space="preserve"> </w:t>
      </w:r>
      <w:r>
        <w:rPr>
          <w:sz w:val="22"/>
          <w:rFonts w:ascii="Calibri" w:hAnsi="Calibri"/>
        </w:rPr>
        <w:t xml:space="preserve">Aurkaratutako egintzaren exekuzioa eteteko eskatu zuen enpresak, orobat; hain zuzen ere, errekurtsoa izapidetzeak iraun bitartean.</w:t>
      </w:r>
    </w:p>
    <w:p w14:paraId="7CFD77FF" w14:textId="77777777" w:rsidR="00977DEF" w:rsidRPr="00DD445C" w:rsidRDefault="00977DEF" w:rsidP="002567D5">
      <w:pPr>
        <w:pStyle w:val="Default"/>
        <w:spacing w:after="120" w:line="276" w:lineRule="auto"/>
        <w:jc w:val="both"/>
        <w:rPr>
          <w:sz w:val="22"/>
          <w:szCs w:val="22"/>
          <w:rFonts w:ascii="Calibri" w:hAnsi="Calibri" w:cs="Calibri"/>
        </w:rPr>
      </w:pPr>
      <w:r>
        <w:rPr>
          <w:sz w:val="22"/>
          <w:rFonts w:ascii="Calibri" w:hAnsi="Calibri"/>
        </w:rPr>
        <w:t xml:space="preserve">2018ko azaroaren 16an, Geoalcali SLk aurkeztutako eskabidearen bidez adierazi zuen 108/2018 Ebazpena —Industria, Energia eta Berrikuntzako zuzendari nagusiak 2018ko urriaren 16an emana— jakinarazi zitzaiola. Ebazpenaren bidez, 35770 zenbakiko “Quiñones” ikerketa baimenaren luzapena ukatu zioten, eta iraungitzat jo zuten.</w:t>
      </w:r>
      <w:r>
        <w:rPr>
          <w:sz w:val="22"/>
          <w:rFonts w:ascii="Calibri" w:hAnsi="Calibri"/>
        </w:rPr>
        <w:t xml:space="preserve"> </w:t>
      </w:r>
    </w:p>
    <w:p w14:paraId="22F1616F" w14:textId="77777777" w:rsidR="00977DEF" w:rsidRPr="00DD445C" w:rsidRDefault="00977DEF" w:rsidP="002567D5">
      <w:pPr>
        <w:pStyle w:val="Default"/>
        <w:spacing w:after="120" w:line="276" w:lineRule="auto"/>
        <w:jc w:val="both"/>
        <w:rPr>
          <w:sz w:val="22"/>
          <w:szCs w:val="22"/>
          <w:rFonts w:ascii="Calibri" w:hAnsi="Calibri" w:cs="Calibri"/>
        </w:rPr>
      </w:pPr>
      <w:r>
        <w:rPr>
          <w:sz w:val="22"/>
          <w:rFonts w:ascii="Calibri" w:hAnsi="Calibri"/>
        </w:rPr>
        <w:t xml:space="preserve">Ebazpen horrekin ados ez zegoenez, eta ebazpena zuzenbidearekin bat ez zetorrelakoan, gora jotzeko errekurtsoa aurkeztu zuen.</w:t>
      </w:r>
      <w:r>
        <w:rPr>
          <w:sz w:val="22"/>
          <w:rFonts w:ascii="Calibri" w:hAnsi="Calibri"/>
        </w:rPr>
        <w:t xml:space="preserve"> </w:t>
      </w:r>
      <w:r>
        <w:rPr>
          <w:sz w:val="22"/>
          <w:rFonts w:ascii="Calibri" w:hAnsi="Calibri"/>
        </w:rPr>
        <w:t xml:space="preserve">Aurkaratutako egintzaren exekuzioa eteteko eskatu zuen enpresak, orobat; hain zuzen ere, errekurtsoa izapidetzeak iraun bitartean.</w:t>
      </w:r>
    </w:p>
    <w:p w14:paraId="2133931A" w14:textId="77777777" w:rsidR="00977DEF" w:rsidRPr="00DD445C" w:rsidRDefault="00977DEF" w:rsidP="002567D5">
      <w:pPr>
        <w:pStyle w:val="Default"/>
        <w:spacing w:after="120" w:line="276" w:lineRule="auto"/>
        <w:jc w:val="both"/>
        <w:rPr>
          <w:sz w:val="22"/>
          <w:szCs w:val="22"/>
          <w:rFonts w:ascii="Calibri" w:hAnsi="Calibri" w:cs="Calibri"/>
        </w:rPr>
      </w:pPr>
      <w:r>
        <w:rPr>
          <w:sz w:val="22"/>
          <w:rFonts w:ascii="Calibri" w:hAnsi="Calibri"/>
        </w:rPr>
        <w:t xml:space="preserve">2020ko abenduaren 22an, Geoalcali SLk aurkeztutako eskabidearen bidez adierazi zuen 93/2020 Ebazpena —Industriaren, Energiaren eta S4 Proiektu Estrategikoen zuzendari nagusiak 2020ko azaroaren 23an emana— jakinarazi zitzaiola. Ebazpenaren bidez, 35880 zenbakiko “Adios handitzea” ikerketa baimenaren luzapena ukatu zioten, eta iraungitzat jo zuten.</w:t>
      </w:r>
      <w:r>
        <w:rPr>
          <w:sz w:val="22"/>
          <w:rFonts w:ascii="Calibri" w:hAnsi="Calibri"/>
        </w:rPr>
        <w:t xml:space="preserve"> </w:t>
      </w:r>
    </w:p>
    <w:p w14:paraId="529F13A0" w14:textId="77777777" w:rsidR="00977DEF" w:rsidRPr="00DD445C" w:rsidRDefault="00977DEF" w:rsidP="002567D5">
      <w:pPr>
        <w:pStyle w:val="Default"/>
        <w:spacing w:after="120" w:line="276" w:lineRule="auto"/>
        <w:jc w:val="both"/>
        <w:rPr>
          <w:sz w:val="22"/>
          <w:szCs w:val="22"/>
          <w:rFonts w:ascii="Calibri" w:hAnsi="Calibri" w:cs="Calibri"/>
        </w:rPr>
      </w:pPr>
      <w:r>
        <w:rPr>
          <w:sz w:val="22"/>
          <w:rFonts w:ascii="Calibri" w:hAnsi="Calibri"/>
        </w:rPr>
        <w:t xml:space="preserve">Ebazpenarekin ados ez zegoenez, eta ebazpena zuzenbidearekin bat ez zetorrela iritzita, gora jotzeko errekurtso hau aurkeztu zuen, eta aurkaratutako egintzaren exekuzioa eteteko eskatu zuen; hain zuen ere, errekurtsoa izapidetzeak iraun bitartean.</w:t>
      </w:r>
    </w:p>
    <w:p w14:paraId="3BC0D065" w14:textId="77777777" w:rsidR="00977DEF" w:rsidRPr="00DD445C" w:rsidRDefault="00977DEF" w:rsidP="002567D5">
      <w:pPr>
        <w:pStyle w:val="Default"/>
        <w:spacing w:after="120" w:line="276" w:lineRule="auto"/>
        <w:jc w:val="both"/>
        <w:rPr>
          <w:sz w:val="22"/>
          <w:szCs w:val="22"/>
          <w:rFonts w:ascii="Calibri" w:hAnsi="Calibri" w:cs="Calibri"/>
        </w:rPr>
      </w:pPr>
      <w:r>
        <w:rPr>
          <w:sz w:val="22"/>
          <w:rFonts w:ascii="Calibri" w:hAnsi="Calibri"/>
        </w:rPr>
        <w:t xml:space="preserve">Departamentuak errekurtsoak ebaztea:</w:t>
      </w:r>
    </w:p>
    <w:p w14:paraId="6F07826A" w14:textId="77777777" w:rsidR="00977DEF" w:rsidRPr="00DD445C" w:rsidRDefault="00977DEF" w:rsidP="002567D5">
      <w:pPr>
        <w:pStyle w:val="Default"/>
        <w:spacing w:after="120" w:line="276" w:lineRule="auto"/>
        <w:jc w:val="both"/>
        <w:rPr>
          <w:sz w:val="22"/>
          <w:szCs w:val="22"/>
          <w:rFonts w:ascii="Calibri" w:hAnsi="Calibri" w:cs="Calibri"/>
        </w:rPr>
      </w:pPr>
      <w:r>
        <w:rPr>
          <w:sz w:val="22"/>
          <w:rFonts w:ascii="Calibri" w:hAnsi="Calibri"/>
        </w:rPr>
        <w:t xml:space="preserve">Garapen Ekonomikoko kontseilariak 2018ko abenduaren 10ean emandako 170E/2018 Foru Aginduaren bidez, ukatu egiten da Geoalcali SLk eskatutako 109/2018 Ebazpenaren —Industria, Energia eta Berrikuntzako zuzendari nagusiak 2018ko urriaren 16an emana— exekuzioaren etetea. Ebazpenaren bidez, 35760 zenbakiko “Quiñones” ikerketa baimena luzatzea ukatu zen, eta iraungitzat jo zen.</w:t>
      </w:r>
    </w:p>
    <w:p w14:paraId="0E23008A" w14:textId="77777777" w:rsidR="00977DEF" w:rsidRPr="00DD445C" w:rsidRDefault="00977DEF" w:rsidP="002567D5">
      <w:pPr>
        <w:pStyle w:val="Default"/>
        <w:spacing w:after="120" w:line="276" w:lineRule="auto"/>
        <w:jc w:val="both"/>
        <w:rPr>
          <w:sz w:val="22"/>
          <w:szCs w:val="22"/>
          <w:rFonts w:ascii="Calibri" w:hAnsi="Calibri" w:cs="Calibri"/>
        </w:rPr>
      </w:pPr>
      <w:r>
        <w:rPr>
          <w:sz w:val="22"/>
          <w:rFonts w:ascii="Calibri" w:hAnsi="Calibri"/>
        </w:rPr>
        <w:t xml:space="preserve">Garapen Ekonomikoko kontseilariak 2018ko abenduaren 10ean emandako 169E/2018 Foru Aginduaren bidez, ukatu egiten da Geoalcali SLk eskatutako 108/2018 Ebazpenaren —Industria, Energia eta Berrikuntzako zuzendari nagusiak 2018ko urriaren 16an emana— exekuzioaren etetea. Ebazpenaren bidez, 35770 zenbakiko “Adios” ikerketa baimena luzatzea ukatu zen, eta iraungitzat jo zen.</w:t>
      </w:r>
    </w:p>
    <w:p w14:paraId="6FD8747D" w14:textId="77777777" w:rsidR="00977DEF" w:rsidRPr="00DD445C" w:rsidRDefault="00977DEF" w:rsidP="002567D5">
      <w:pPr>
        <w:pStyle w:val="Default"/>
        <w:spacing w:after="120" w:line="276" w:lineRule="auto"/>
        <w:jc w:val="both"/>
        <w:rPr>
          <w:sz w:val="22"/>
          <w:szCs w:val="22"/>
          <w:rFonts w:ascii="Calibri" w:hAnsi="Calibri" w:cs="Calibri"/>
        </w:rPr>
      </w:pPr>
      <w:r>
        <w:rPr>
          <w:sz w:val="22"/>
          <w:rFonts w:ascii="Calibri" w:hAnsi="Calibri"/>
        </w:rPr>
        <w:t xml:space="preserve">Berariaz ebatzi gabeko eskabideen egungo administrazio-egoera:</w:t>
      </w:r>
    </w:p>
    <w:p w14:paraId="5DF9CEC1" w14:textId="77777777" w:rsidR="00977DEF" w:rsidRPr="00DD445C" w:rsidRDefault="00977DEF" w:rsidP="002567D5">
      <w:pPr>
        <w:pStyle w:val="Default"/>
        <w:spacing w:after="120" w:line="276" w:lineRule="auto"/>
        <w:jc w:val="both"/>
        <w:rPr>
          <w:sz w:val="22"/>
          <w:szCs w:val="22"/>
          <w:rFonts w:ascii="Calibri" w:hAnsi="Calibri" w:cs="Calibri"/>
        </w:rPr>
      </w:pPr>
      <w:r>
        <w:rPr>
          <w:sz w:val="22"/>
          <w:rFonts w:ascii="Calibri" w:hAnsi="Calibri"/>
        </w:rPr>
        <w:t xml:space="preserve">2020ko azaroaren 23ko 93/2020 Ebazpena eteteko eskaerari dagokionez:</w:t>
      </w:r>
    </w:p>
    <w:p w14:paraId="537D98F4" w14:textId="77777777" w:rsidR="00977DEF" w:rsidRPr="00DD445C" w:rsidRDefault="00977DEF" w:rsidP="002567D5">
      <w:pPr>
        <w:pStyle w:val="Default"/>
        <w:spacing w:after="120" w:line="276" w:lineRule="auto"/>
        <w:jc w:val="both"/>
        <w:rPr>
          <w:sz w:val="22"/>
          <w:szCs w:val="22"/>
          <w:rFonts w:ascii="Calibri" w:hAnsi="Calibri" w:cs="Calibri"/>
        </w:rPr>
      </w:pPr>
      <w:r>
        <w:rPr>
          <w:sz w:val="22"/>
          <w:rFonts w:ascii="Calibri" w:hAnsi="Calibri"/>
        </w:rPr>
        <w:t xml:space="preserve">APELaren 117. artikuluak honako hau ezartzen du:</w:t>
      </w:r>
      <w:r>
        <w:rPr>
          <w:sz w:val="22"/>
          <w:rFonts w:ascii="Calibri" w:hAnsi="Calibri"/>
        </w:rPr>
        <w:t xml:space="preserve"> </w:t>
      </w:r>
    </w:p>
    <w:p w14:paraId="1461B67D" w14:textId="77777777" w:rsidR="00977DEF" w:rsidRPr="00DD445C" w:rsidRDefault="00977DEF" w:rsidP="002567D5">
      <w:pPr>
        <w:pStyle w:val="Default"/>
        <w:spacing w:after="120" w:line="276" w:lineRule="auto"/>
        <w:jc w:val="both"/>
        <w:rPr>
          <w:sz w:val="22"/>
          <w:szCs w:val="22"/>
          <w:rFonts w:ascii="Calibri" w:hAnsi="Calibri" w:cs="Calibri"/>
        </w:rPr>
      </w:pPr>
      <w:r>
        <w:rPr>
          <w:sz w:val="22"/>
          <w:rFonts w:ascii="Calibri" w:hAnsi="Calibri"/>
        </w:rPr>
        <w:t xml:space="preserve">“3.</w:t>
      </w:r>
      <w:r>
        <w:rPr>
          <w:sz w:val="22"/>
          <w:rFonts w:ascii="Calibri" w:hAnsi="Calibri"/>
        </w:rPr>
        <w:t xml:space="preserve"> </w:t>
      </w:r>
      <w:r>
        <w:rPr>
          <w:sz w:val="22"/>
          <w:rFonts w:ascii="Calibri" w:hAnsi="Calibri"/>
        </w:rPr>
        <w:t xml:space="preserve">Aurkaratutako egintzaren betearazpena eten dela ulertuko da baldin eta, hilabete igaro delarik egintza eteteko eskaera erabakitzeko eskumena duen administrazioaren edo organoaren erregistro elektronikoan sartu denetik, errekurtsoa ebazteko eskumena duen organismoak ez badu hari buruzko ebazpen espresurik eman eta jakinarazi.</w:t>
      </w:r>
      <w:r>
        <w:rPr>
          <w:sz w:val="22"/>
          <w:rFonts w:ascii="Calibri" w:hAnsi="Calibri"/>
        </w:rPr>
        <w:t xml:space="preserve"> </w:t>
      </w:r>
      <w:r>
        <w:rPr>
          <w:sz w:val="22"/>
          <w:rFonts w:ascii="Calibri" w:hAnsi="Calibri"/>
        </w:rPr>
        <w:t xml:space="preserve">Halako kasuetan, ez da aplikatuko lege honen 21.4 artikuluko bigarren paragrafoan ezarritakoa».</w:t>
      </w:r>
    </w:p>
    <w:p w14:paraId="03A297D4" w14:textId="77777777" w:rsidR="00977DEF" w:rsidRPr="00DD445C" w:rsidRDefault="00977DEF" w:rsidP="002567D5">
      <w:pPr>
        <w:pStyle w:val="Default"/>
        <w:spacing w:after="120" w:line="276" w:lineRule="auto"/>
        <w:jc w:val="both"/>
        <w:rPr>
          <w:sz w:val="22"/>
          <w:szCs w:val="22"/>
          <w:rFonts w:ascii="Calibri" w:hAnsi="Calibri" w:cs="Calibri"/>
        </w:rPr>
      </w:pPr>
      <w:r>
        <w:rPr>
          <w:sz w:val="22"/>
          <w:rFonts w:ascii="Calibri" w:hAnsi="Calibri"/>
        </w:rPr>
        <w:t xml:space="preserve">2020ko abenduaren 22an jarritako gora jotzeko errekurtsoan etetea eskatu zuen, eta, horrenbestez, 2021eko urtarrilaren 22an, etenda gelditu zen aurkaratutako egintza.</w:t>
      </w:r>
    </w:p>
    <w:p w14:paraId="0FA75F42" w14:textId="77777777" w:rsidR="00977DEF" w:rsidRPr="00DD445C" w:rsidRDefault="00977DEF" w:rsidP="002567D5">
      <w:pPr>
        <w:pStyle w:val="Default"/>
        <w:spacing w:after="120" w:line="276" w:lineRule="auto"/>
        <w:jc w:val="both"/>
        <w:rPr>
          <w:sz w:val="22"/>
          <w:szCs w:val="22"/>
          <w:rFonts w:ascii="Calibri" w:hAnsi="Calibri" w:cs="Calibri"/>
        </w:rPr>
      </w:pPr>
      <w:r>
        <w:rPr>
          <w:sz w:val="22"/>
          <w:rFonts w:ascii="Calibri" w:hAnsi="Calibri"/>
        </w:rPr>
        <w:t xml:space="preserve">Gora jotzeko hiru errekurtsoen ebazpenari dagokionez:</w:t>
      </w:r>
    </w:p>
    <w:p w14:paraId="22FE2625" w14:textId="77777777" w:rsidR="00977DEF" w:rsidRPr="00DD445C" w:rsidRDefault="00977DEF" w:rsidP="002567D5">
      <w:pPr>
        <w:pStyle w:val="Default"/>
        <w:spacing w:after="120" w:line="276" w:lineRule="auto"/>
        <w:jc w:val="both"/>
        <w:rPr>
          <w:sz w:val="22"/>
          <w:szCs w:val="22"/>
          <w:rFonts w:ascii="Calibri" w:hAnsi="Calibri" w:cs="Calibri"/>
        </w:rPr>
      </w:pPr>
      <w:r>
        <w:rPr>
          <w:sz w:val="22"/>
          <w:rFonts w:ascii="Calibri" w:hAnsi="Calibri"/>
        </w:rPr>
        <w:t xml:space="preserve">Ez da sinatu haiek ebazten dituen foru agindurik.</w:t>
      </w:r>
      <w:r>
        <w:rPr>
          <w:sz w:val="22"/>
          <w:rFonts w:ascii="Calibri" w:hAnsi="Calibri"/>
        </w:rPr>
        <w:t xml:space="preserve"> </w:t>
      </w:r>
      <w:r>
        <w:rPr>
          <w:sz w:val="22"/>
          <w:rFonts w:ascii="Calibri" w:hAnsi="Calibri"/>
        </w:rPr>
        <w:t xml:space="preserve">Urriaren 1eko 39/2015 Legeak, Administrazio Publikoen Administrazio Prozedura Erkidearenak, hau xedatzen du 122 artikuluan:</w:t>
      </w:r>
    </w:p>
    <w:p w14:paraId="0B0A11A4" w14:textId="77777777" w:rsidR="00977DEF" w:rsidRPr="00DD445C" w:rsidRDefault="00977DEF" w:rsidP="002567D5">
      <w:pPr>
        <w:pStyle w:val="Default"/>
        <w:spacing w:after="120" w:line="276" w:lineRule="auto"/>
        <w:jc w:val="both"/>
        <w:rPr>
          <w:sz w:val="22"/>
          <w:szCs w:val="22"/>
          <w:rFonts w:ascii="Calibri" w:hAnsi="Calibri" w:cs="Calibri"/>
        </w:rPr>
      </w:pPr>
      <w:r>
        <w:rPr>
          <w:sz w:val="22"/>
          <w:rFonts w:ascii="Calibri" w:hAnsi="Calibri"/>
        </w:rPr>
        <w:t xml:space="preserve">“1.</w:t>
      </w:r>
      <w:r>
        <w:rPr>
          <w:sz w:val="22"/>
          <w:rFonts w:ascii="Calibri" w:hAnsi="Calibri"/>
        </w:rPr>
        <w:t xml:space="preserve"> </w:t>
      </w:r>
      <w:r>
        <w:rPr>
          <w:sz w:val="22"/>
          <w:rFonts w:ascii="Calibri" w:hAnsi="Calibri"/>
        </w:rPr>
        <w:t xml:space="preserve">Gora jotzeko errekurtsoa jartzeko epea hilabetekoa izanen da, egintza espresua denean.</w:t>
      </w:r>
      <w:r>
        <w:rPr>
          <w:sz w:val="22"/>
          <w:rFonts w:ascii="Calibri" w:hAnsi="Calibri"/>
        </w:rPr>
        <w:t xml:space="preserve"> </w:t>
      </w:r>
      <w:r>
        <w:rPr>
          <w:sz w:val="22"/>
          <w:rFonts w:ascii="Calibri" w:hAnsi="Calibri"/>
        </w:rPr>
        <w:t xml:space="preserve">Epe hori amaitu eta errekurtsorik jarri ez bada, ebazpena irmoa izanen da ondorio guztietarako.</w:t>
      </w:r>
    </w:p>
    <w:p w14:paraId="1C537CE6" w14:textId="77777777" w:rsidR="00977DEF" w:rsidRPr="00DD445C" w:rsidRDefault="00977DEF" w:rsidP="002567D5">
      <w:pPr>
        <w:pStyle w:val="Default"/>
        <w:spacing w:after="120" w:line="276" w:lineRule="auto"/>
        <w:jc w:val="both"/>
        <w:rPr>
          <w:sz w:val="22"/>
          <w:szCs w:val="22"/>
          <w:rFonts w:ascii="Calibri" w:hAnsi="Calibri" w:cs="Calibri"/>
        </w:rPr>
      </w:pPr>
      <w:r>
        <w:rPr>
          <w:sz w:val="22"/>
          <w:rFonts w:ascii="Calibri" w:hAnsi="Calibri"/>
        </w:rPr>
        <w:t xml:space="preserve">Egintza espresua ez bada, eskatzaileak eta izan litezkeen beste interesdun batzuek gora jotzeko errekurtsoa jar dezakete, noiznahi, araudi espezifikoaren arabera administrazio-isiltasunak ondorioak izan eta biharamunetik aurrera”.</w:t>
      </w:r>
    </w:p>
    <w:p w14:paraId="49EB3F7F" w14:textId="77777777" w:rsidR="00977DEF" w:rsidRPr="00DD445C" w:rsidRDefault="00977DEF" w:rsidP="002567D5">
      <w:pPr>
        <w:pStyle w:val="Default"/>
        <w:spacing w:after="120" w:line="276" w:lineRule="auto"/>
        <w:jc w:val="both"/>
        <w:rPr>
          <w:sz w:val="22"/>
          <w:szCs w:val="22"/>
          <w:rFonts w:ascii="Calibri" w:hAnsi="Calibri" w:cs="Calibri"/>
        </w:rPr>
      </w:pPr>
      <w:r>
        <w:rPr>
          <w:sz w:val="22"/>
          <w:rFonts w:ascii="Calibri" w:hAnsi="Calibri"/>
        </w:rPr>
        <w:t xml:space="preserve">“2.</w:t>
      </w:r>
      <w:r>
        <w:rPr>
          <w:sz w:val="22"/>
          <w:rFonts w:ascii="Calibri" w:hAnsi="Calibri"/>
        </w:rPr>
        <w:t xml:space="preserve"> </w:t>
      </w:r>
      <w:r>
        <w:rPr>
          <w:sz w:val="22"/>
          <w:rFonts w:ascii="Calibri" w:hAnsi="Calibri"/>
        </w:rPr>
        <w:t xml:space="preserve">Errekurtsoaren ebazpena emateko eta jakinarazteko gehieneko epea hiru hilabete izanen da.</w:t>
      </w:r>
      <w:r>
        <w:rPr>
          <w:sz w:val="22"/>
          <w:rFonts w:ascii="Calibri" w:hAnsi="Calibri"/>
        </w:rPr>
        <w:t xml:space="preserve"> </w:t>
      </w:r>
      <w:r>
        <w:rPr>
          <w:sz w:val="22"/>
          <w:rFonts w:ascii="Calibri" w:hAnsi="Calibri"/>
        </w:rPr>
        <w:t xml:space="preserve">Epe hori amaitu eta ebazpenik eman ez bada, uler daiteke errekurtsoa ezetsi egin dela, salbu eta 24.1 artikuluko hirugarren paragrafoan aurreikusitako kasuan</w:t>
      </w:r>
      <w:r>
        <w:rPr>
          <w:sz w:val="22"/>
          <w:i w:val="false"/>
          <w:iCs w:val="false"/>
          <w:rFonts w:ascii="Calibri" w:hAnsi="Calibri"/>
        </w:rPr>
        <w:t xml:space="preserve">».</w:t>
      </w:r>
    </w:p>
    <w:p w14:paraId="60EFD0F6" w14:textId="77777777" w:rsidR="004F49E6" w:rsidRPr="00DD445C" w:rsidRDefault="00977DEF" w:rsidP="002567D5">
      <w:pPr>
        <w:pStyle w:val="Default"/>
        <w:spacing w:after="120" w:line="276" w:lineRule="auto"/>
        <w:jc w:val="both"/>
        <w:rPr>
          <w:sz w:val="22"/>
          <w:szCs w:val="22"/>
          <w:rFonts w:ascii="Calibri" w:hAnsi="Calibri" w:cs="Calibri"/>
        </w:rPr>
      </w:pPr>
      <w:r>
        <w:rPr>
          <w:sz w:val="22"/>
          <w:rFonts w:ascii="Calibri" w:hAnsi="Calibri"/>
        </w:rPr>
        <w:t xml:space="preserve">Ondorioz, APELaren 122.2 artikuluan ezarritakoaren arabera, jarritako gora jotzeko errekurtsoak ezetsitzat jotzen dira.</w:t>
      </w:r>
      <w:r>
        <w:rPr>
          <w:sz w:val="22"/>
          <w:rFonts w:ascii="Calibri" w:hAnsi="Calibri"/>
        </w:rPr>
        <w:t xml:space="preserve"> </w:t>
      </w:r>
      <w:r>
        <w:rPr>
          <w:sz w:val="22"/>
          <w:rFonts w:ascii="Calibri" w:hAnsi="Calibri"/>
        </w:rPr>
        <w:t xml:space="preserve">Hori jakinarazten dut, Nafarroako Parlamentuko Erregelamenduaren 215. artikuluan xedatutakoa betez.</w:t>
      </w:r>
    </w:p>
    <w:p w14:paraId="6B3067CC" w14:textId="77777777" w:rsidR="007C0BA1" w:rsidRPr="00DD445C" w:rsidRDefault="007C0BA1" w:rsidP="002567D5">
      <w:pPr>
        <w:spacing w:after="120" w:line="276" w:lineRule="auto"/>
        <w:jc w:val="both"/>
        <w:rPr>
          <w:sz w:val="22"/>
          <w:szCs w:val="22"/>
          <w:rFonts w:ascii="Calibri" w:hAnsi="Calibri" w:cs="Calibri"/>
        </w:rPr>
      </w:pPr>
      <w:r>
        <w:rPr>
          <w:sz w:val="22"/>
          <w:rFonts w:ascii="Calibri" w:hAnsi="Calibri"/>
        </w:rPr>
        <w:t xml:space="preserve">Iruñean, 2026ko apirilaren 10ean</w:t>
      </w:r>
    </w:p>
    <w:p w14:paraId="3B0AF5AB" w14:textId="77777777" w:rsidR="00924421" w:rsidRPr="00DD445C" w:rsidRDefault="002567D5" w:rsidP="002567D5">
      <w:pPr>
        <w:spacing w:after="120" w:line="276" w:lineRule="auto"/>
        <w:jc w:val="both"/>
        <w:rPr>
          <w:sz w:val="22"/>
          <w:szCs w:val="22"/>
          <w:rFonts w:ascii="Calibri" w:hAnsi="Calibri" w:cs="Calibri"/>
        </w:rPr>
      </w:pPr>
      <w:r>
        <w:rPr>
          <w:sz w:val="22"/>
          <w:rFonts w:ascii="Calibri" w:hAnsi="Calibri"/>
        </w:rPr>
        <w:t xml:space="preserve">Industriako eta Enpresen Trantsizio Ekologiko eta Digitalerako kontseilaria: Mikel Irujo Amezaga jauna</w:t>
      </w:r>
    </w:p>
    <w:sectPr w:rsidR="00924421" w:rsidRPr="00DD445C" w:rsidSect="002567D5">
      <w:footerReference w:type="default" r:id="rId8"/>
      <w:pgSz w:w="11907" w:h="16840" w:code="9"/>
      <w:pgMar w:top="1701" w:right="1134" w:bottom="1134" w:left="18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267DE" w14:textId="77777777" w:rsidR="00C7666B" w:rsidRDefault="00C7666B" w:rsidP="00805581">
      <w:r>
        <w:separator/>
      </w:r>
    </w:p>
  </w:endnote>
  <w:endnote w:type="continuationSeparator" w:id="0">
    <w:p w14:paraId="3A2BC958" w14:textId="77777777" w:rsidR="00C7666B" w:rsidRDefault="00C7666B"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E564" w14:textId="77777777" w:rsidR="00306888" w:rsidRPr="007C0BA1" w:rsidRDefault="00306888" w:rsidP="00306888">
    <w:pPr>
      <w:spacing w:line="360" w:lineRule="auto"/>
      <w:jc w:val="both"/>
      <w:rPr>
        <w:rFonts w:ascii="DejaVu Serif Condensed" w:hAnsi="DejaVu Serif Condensed"/>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A984" w14:textId="77777777" w:rsidR="00C7666B" w:rsidRDefault="00C7666B" w:rsidP="00805581">
      <w:r>
        <w:separator/>
      </w:r>
    </w:p>
  </w:footnote>
  <w:footnote w:type="continuationSeparator" w:id="0">
    <w:p w14:paraId="40806121" w14:textId="77777777" w:rsidR="00C7666B" w:rsidRDefault="00C7666B"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1"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2"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4"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50744551">
    <w:abstractNumId w:val="1"/>
  </w:num>
  <w:num w:numId="2" w16cid:durableId="1476335307">
    <w:abstractNumId w:val="0"/>
  </w:num>
  <w:num w:numId="3" w16cid:durableId="767964099">
    <w:abstractNumId w:val="3"/>
  </w:num>
  <w:num w:numId="4" w16cid:durableId="2108501647">
    <w:abstractNumId w:val="2"/>
  </w:num>
  <w:num w:numId="5" w16cid:durableId="1362895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18"/>
    <w:rsid w:val="00005CB6"/>
    <w:rsid w:val="00047109"/>
    <w:rsid w:val="00061227"/>
    <w:rsid w:val="00061978"/>
    <w:rsid w:val="000747BF"/>
    <w:rsid w:val="000C24EC"/>
    <w:rsid w:val="000C2BAE"/>
    <w:rsid w:val="001200E1"/>
    <w:rsid w:val="0015364A"/>
    <w:rsid w:val="0015660B"/>
    <w:rsid w:val="00157B5E"/>
    <w:rsid w:val="00167D7B"/>
    <w:rsid w:val="00187E82"/>
    <w:rsid w:val="001B0237"/>
    <w:rsid w:val="001B100D"/>
    <w:rsid w:val="001C10F8"/>
    <w:rsid w:val="001C1A6D"/>
    <w:rsid w:val="001C1E70"/>
    <w:rsid w:val="001E7D6B"/>
    <w:rsid w:val="001F34F3"/>
    <w:rsid w:val="001F6DB5"/>
    <w:rsid w:val="00206E77"/>
    <w:rsid w:val="00207D6A"/>
    <w:rsid w:val="00235E3A"/>
    <w:rsid w:val="002567D5"/>
    <w:rsid w:val="00264D61"/>
    <w:rsid w:val="00266A20"/>
    <w:rsid w:val="00273693"/>
    <w:rsid w:val="002B1BE4"/>
    <w:rsid w:val="002F02F2"/>
    <w:rsid w:val="00301DBF"/>
    <w:rsid w:val="00302F80"/>
    <w:rsid w:val="00306888"/>
    <w:rsid w:val="003217FB"/>
    <w:rsid w:val="00366908"/>
    <w:rsid w:val="00377151"/>
    <w:rsid w:val="00390CC8"/>
    <w:rsid w:val="003A0CE7"/>
    <w:rsid w:val="003E7603"/>
    <w:rsid w:val="003E7F77"/>
    <w:rsid w:val="003F3663"/>
    <w:rsid w:val="0040150F"/>
    <w:rsid w:val="00412FED"/>
    <w:rsid w:val="00462CA9"/>
    <w:rsid w:val="00491B64"/>
    <w:rsid w:val="004951B6"/>
    <w:rsid w:val="004B5C04"/>
    <w:rsid w:val="004C3705"/>
    <w:rsid w:val="004F49E6"/>
    <w:rsid w:val="0051134D"/>
    <w:rsid w:val="0055338A"/>
    <w:rsid w:val="00564CC7"/>
    <w:rsid w:val="005C1FDF"/>
    <w:rsid w:val="005C36E7"/>
    <w:rsid w:val="005C57FC"/>
    <w:rsid w:val="005D3701"/>
    <w:rsid w:val="005E442E"/>
    <w:rsid w:val="005F4AD6"/>
    <w:rsid w:val="00632DDC"/>
    <w:rsid w:val="006360EF"/>
    <w:rsid w:val="00654E5C"/>
    <w:rsid w:val="006E1A20"/>
    <w:rsid w:val="006E3AC8"/>
    <w:rsid w:val="007019AA"/>
    <w:rsid w:val="00730366"/>
    <w:rsid w:val="007B5B6D"/>
    <w:rsid w:val="007C0BA1"/>
    <w:rsid w:val="00800A18"/>
    <w:rsid w:val="0080310F"/>
    <w:rsid w:val="00805581"/>
    <w:rsid w:val="008303D7"/>
    <w:rsid w:val="00857FEB"/>
    <w:rsid w:val="00872BB8"/>
    <w:rsid w:val="0088757F"/>
    <w:rsid w:val="00901F02"/>
    <w:rsid w:val="00907A49"/>
    <w:rsid w:val="00915D78"/>
    <w:rsid w:val="00924421"/>
    <w:rsid w:val="00932262"/>
    <w:rsid w:val="00934B9A"/>
    <w:rsid w:val="00950A82"/>
    <w:rsid w:val="009620D6"/>
    <w:rsid w:val="00977DEF"/>
    <w:rsid w:val="009A0F11"/>
    <w:rsid w:val="009C585B"/>
    <w:rsid w:val="009E0B2F"/>
    <w:rsid w:val="009F2469"/>
    <w:rsid w:val="00A23304"/>
    <w:rsid w:val="00A701BE"/>
    <w:rsid w:val="00B14F8A"/>
    <w:rsid w:val="00B368D1"/>
    <w:rsid w:val="00B55C6B"/>
    <w:rsid w:val="00B677B2"/>
    <w:rsid w:val="00B7603A"/>
    <w:rsid w:val="00B919AD"/>
    <w:rsid w:val="00B95259"/>
    <w:rsid w:val="00BA0FC9"/>
    <w:rsid w:val="00BB4969"/>
    <w:rsid w:val="00BD62C4"/>
    <w:rsid w:val="00BE06A8"/>
    <w:rsid w:val="00C01890"/>
    <w:rsid w:val="00C02A51"/>
    <w:rsid w:val="00C33000"/>
    <w:rsid w:val="00C76255"/>
    <w:rsid w:val="00C7666B"/>
    <w:rsid w:val="00CC0BF4"/>
    <w:rsid w:val="00CD6187"/>
    <w:rsid w:val="00CF554E"/>
    <w:rsid w:val="00D562E4"/>
    <w:rsid w:val="00D764D5"/>
    <w:rsid w:val="00D8322F"/>
    <w:rsid w:val="00D83E62"/>
    <w:rsid w:val="00DA2741"/>
    <w:rsid w:val="00DB0413"/>
    <w:rsid w:val="00DD3120"/>
    <w:rsid w:val="00DD445C"/>
    <w:rsid w:val="00DD4A22"/>
    <w:rsid w:val="00DE5C78"/>
    <w:rsid w:val="00DF138C"/>
    <w:rsid w:val="00DF566E"/>
    <w:rsid w:val="00E01BCD"/>
    <w:rsid w:val="00E2075A"/>
    <w:rsid w:val="00E42E78"/>
    <w:rsid w:val="00E447D7"/>
    <w:rsid w:val="00E55333"/>
    <w:rsid w:val="00EA380B"/>
    <w:rsid w:val="00F06E1A"/>
    <w:rsid w:val="00F25A76"/>
    <w:rsid w:val="00F307AE"/>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9225F"/>
  <w15:chartTrackingRefBased/>
  <w15:docId w15:val="{3074F7F4-E45E-4637-96E1-9C148BB1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lang w:val="eu-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u-ES"/>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u-ES"/>
    </w:rPr>
  </w:style>
  <w:style w:type="paragraph" w:styleId="Prrafodelista">
    <w:name w:val="List Paragraph"/>
    <w:basedOn w:val="Normal"/>
    <w:link w:val="PrrafodelistaCar"/>
    <w:uiPriority w:val="34"/>
    <w:qFormat/>
    <w:rsid w:val="00366908"/>
    <w:pPr>
      <w:ind w:left="720"/>
      <w:contextualSpacing/>
    </w:pPr>
    <w:rPr>
      <w:sz w:val="24"/>
      <w:szCs w:val="24"/>
      <w:lang w:val="eu-ES"/>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u-ES"/>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4228E-1703-434E-A22B-C0EBC882F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4502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Irazustabarrena Barriola, Ainhoa</cp:lastModifiedBy>
  <cp:revision>2</cp:revision>
  <cp:lastPrinted>2025-01-14T08:04:00Z</cp:lastPrinted>
  <dcterms:created xsi:type="dcterms:W3CDTF">2026-04-28T06:02:00Z</dcterms:created>
  <dcterms:modified xsi:type="dcterms:W3CDTF">2026-04-28T06:02:00Z</dcterms:modified>
</cp:coreProperties>
</file>