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9A1A" w14:textId="3F66DE53" w:rsidR="005C6F85" w:rsidRPr="002B40E6" w:rsidRDefault="005C6F85" w:rsidP="002B40E6">
      <w:pPr>
        <w:spacing w:after="120" w:line="276" w:lineRule="auto"/>
        <w:jc w:val="both"/>
        <w:rPr>
          <w:rFonts w:asciiTheme="majorHAnsi" w:hAnsiTheme="majorHAnsi" w:cstheme="majorHAnsi"/>
          <w:sz w:val="22"/>
          <w:szCs w:val="22"/>
        </w:rPr>
      </w:pPr>
      <w:r>
        <w:rPr>
          <w:rFonts w:asciiTheme="majorHAnsi" w:hAnsiTheme="majorHAnsi"/>
          <w:sz w:val="22"/>
        </w:rPr>
        <w:t>EH Bildu Nafarroa talde parlamentarioari atxikitako foru</w:t>
      </w:r>
      <w:r w:rsidR="004563C0">
        <w:rPr>
          <w:rFonts w:asciiTheme="majorHAnsi" w:hAnsiTheme="majorHAnsi"/>
          <w:sz w:val="22"/>
        </w:rPr>
        <w:t>-</w:t>
      </w:r>
      <w:r>
        <w:rPr>
          <w:rFonts w:asciiTheme="majorHAnsi" w:hAnsiTheme="majorHAnsi"/>
          <w:sz w:val="22"/>
        </w:rPr>
        <w:t>parlamentari Javier Arza Porras jaunak idatziz erantzuteko galdera egin du 11-26/PES-00096 eskariari buruz. Hona hemen Nafarroako Gobernuaren Etxebizitzako, Gazteriako eta Migrazio Politiketako kontseilariak horren harira ematen dion informazioa:</w:t>
      </w:r>
    </w:p>
    <w:p w14:paraId="5B698242" w14:textId="77777777" w:rsidR="00DB1E2F" w:rsidRPr="002B40E6" w:rsidRDefault="00DB1E2F" w:rsidP="002B40E6">
      <w:pPr>
        <w:spacing w:after="120" w:line="276" w:lineRule="auto"/>
        <w:jc w:val="both"/>
        <w:rPr>
          <w:rFonts w:asciiTheme="majorHAnsi" w:hAnsiTheme="majorHAnsi" w:cstheme="majorHAnsi"/>
          <w:sz w:val="22"/>
          <w:szCs w:val="22"/>
        </w:rPr>
      </w:pPr>
      <w:r>
        <w:rPr>
          <w:rFonts w:asciiTheme="majorHAnsi" w:hAnsiTheme="majorHAnsi"/>
          <w:sz w:val="22"/>
        </w:rPr>
        <w:t xml:space="preserve">Migrazio Politiketako Zuzendaritza Nagusia lanean ari da pertsona migratuek arreta zerbitzuetara sartzeko dituzten oztopoak ezabatzeko, eta, horien artean, administrazio egoera irregularrean egonez gero desgaitasun aitortza lortzeko ezintasuna ezabatzeko. </w:t>
      </w:r>
    </w:p>
    <w:p w14:paraId="7CB80E4D" w14:textId="3EB51BC4" w:rsidR="00DB1E2F" w:rsidRPr="002B40E6" w:rsidRDefault="00DB1E2F" w:rsidP="002B40E6">
      <w:pPr>
        <w:spacing w:after="120" w:line="276" w:lineRule="auto"/>
        <w:jc w:val="both"/>
        <w:rPr>
          <w:rFonts w:asciiTheme="majorHAnsi" w:hAnsiTheme="majorHAnsi" w:cstheme="majorHAnsi"/>
          <w:sz w:val="22"/>
          <w:szCs w:val="22"/>
        </w:rPr>
      </w:pPr>
      <w:r>
        <w:rPr>
          <w:rFonts w:asciiTheme="majorHAnsi" w:hAnsiTheme="majorHAnsi"/>
          <w:sz w:val="22"/>
        </w:rPr>
        <w:t>Migrazio Politiketako Zuzendaritza Nagusiak nahiz administrazio honetako beste departamentu batzuek egoera hori agerian utzi dute Nafarroako Gobernuak (Osasun Departamentua eta Eskubide Sozialetako, Ekonomia Sozialeko eta Enpleguko Departamentua) 2026ko apirilean egindako Nafarroako Arreta Soziosanitarioaren Egoeraren Diagnostikoan parte hartu zutenean; hain zuzen, 27. orrialdean, honako hau adierazten du:</w:t>
      </w:r>
    </w:p>
    <w:p w14:paraId="552DD44E" w14:textId="77777777" w:rsidR="00DB1E2F" w:rsidRPr="002B40E6" w:rsidRDefault="00DB1E2F" w:rsidP="002B40E6">
      <w:pPr>
        <w:pStyle w:val="Prrafodelista"/>
        <w:numPr>
          <w:ilvl w:val="0"/>
          <w:numId w:val="17"/>
        </w:numPr>
        <w:spacing w:after="120" w:line="276" w:lineRule="auto"/>
        <w:jc w:val="both"/>
        <w:rPr>
          <w:rFonts w:asciiTheme="majorHAnsi" w:hAnsiTheme="majorHAnsi" w:cstheme="majorHAnsi"/>
          <w:i/>
          <w:sz w:val="22"/>
          <w:szCs w:val="22"/>
        </w:rPr>
      </w:pPr>
      <w:r>
        <w:rPr>
          <w:rFonts w:asciiTheme="majorHAnsi" w:hAnsiTheme="majorHAnsi"/>
          <w:i/>
          <w:sz w:val="22"/>
        </w:rPr>
        <w:t xml:space="preserve">“Pertsona migratuak, arreta soziosanitarioko profil emergente gisa. Egindako lan bileretan, ia aho batez aipatu da atzerritarren taldea dela arreta soziosanitarioko profil emergente nagusietako bat, pertsona horiek Nafarroan hartzen joan diren pisu gero eta handiagoa kontuan hartuta. Talde oso heterogeneoa osatu arren, migrazio estatusa arrisku faktore argi gisa agertzen da osasunari eta gizarte zaurgarritasunari dagokienez, askotariko arrazoiengatik: </w:t>
      </w:r>
    </w:p>
    <w:p w14:paraId="7B663598" w14:textId="77777777" w:rsidR="00DB1E2F" w:rsidRPr="002B40E6" w:rsidRDefault="00DB1E2F" w:rsidP="002B40E6">
      <w:pPr>
        <w:spacing w:after="120" w:line="276" w:lineRule="auto"/>
        <w:ind w:left="708"/>
        <w:jc w:val="both"/>
        <w:rPr>
          <w:rFonts w:asciiTheme="majorHAnsi" w:hAnsiTheme="majorHAnsi" w:cstheme="majorHAnsi"/>
          <w:i/>
          <w:sz w:val="22"/>
          <w:szCs w:val="22"/>
        </w:rPr>
      </w:pPr>
      <w:r>
        <w:rPr>
          <w:rFonts w:asciiTheme="majorHAnsi" w:hAnsiTheme="majorHAnsi"/>
          <w:i/>
          <w:sz w:val="22"/>
        </w:rPr>
        <w:sym w:font="Symbol" w:char="F0B7"/>
      </w:r>
      <w:r>
        <w:rPr>
          <w:rFonts w:asciiTheme="majorHAnsi" w:hAnsiTheme="majorHAnsi"/>
          <w:i/>
          <w:sz w:val="22"/>
        </w:rPr>
        <w:t>Arreta zerbitzuetarako sarbidea zailtzen duten egiturazko faktoreak, hala nola mendekotasuna edo desgaitasuna aitortzeko ezintasuna, administrazio egoera irregularrean egonez gero...”</w:t>
      </w:r>
      <w:r>
        <w:t>.</w:t>
      </w:r>
    </w:p>
    <w:p w14:paraId="2643F43B" w14:textId="77777777" w:rsidR="00DB1E2F" w:rsidRPr="002B40E6" w:rsidRDefault="00DB1E2F" w:rsidP="002B40E6">
      <w:pPr>
        <w:spacing w:after="120" w:line="276" w:lineRule="auto"/>
        <w:jc w:val="both"/>
        <w:rPr>
          <w:rFonts w:asciiTheme="majorHAnsi" w:hAnsiTheme="majorHAnsi" w:cstheme="majorHAnsi"/>
          <w:sz w:val="22"/>
          <w:szCs w:val="22"/>
        </w:rPr>
      </w:pPr>
      <w:r>
        <w:rPr>
          <w:rFonts w:asciiTheme="majorHAnsi" w:hAnsiTheme="majorHAnsi"/>
          <w:sz w:val="22"/>
        </w:rPr>
        <w:t>Hori dela eta, arrazakeriaren eta xenofobiaren aurka borrokatzeko apirilaren 5eko 13/2023 Foru Legearen 2. artikuluan aipatzen diren zuzeneko eta zeharkako diskriminazioaren definizioak kontuan hartuta, beharrezkotzat jotzen da azterketa sakonago bat egitea gure komunitatean administrazio egoera irregularrean bizi diren pertsonei desgaitasunaren gradua eta maila baloratzeko, aitortzeko eta egiaztatzeko prozedurara sartzeko oztopo horri buruz, diskriminaziorik egoten ahal den zehazteko, hobetzeko ekintzak baloratze aldera.</w:t>
      </w:r>
    </w:p>
    <w:p w14:paraId="6C97D1C8" w14:textId="77777777" w:rsidR="005C6F85" w:rsidRPr="002B40E6" w:rsidRDefault="005C6F85" w:rsidP="002B40E6">
      <w:pPr>
        <w:spacing w:after="120" w:line="276" w:lineRule="auto"/>
        <w:jc w:val="both"/>
        <w:rPr>
          <w:rFonts w:asciiTheme="majorHAnsi" w:hAnsiTheme="majorHAnsi" w:cstheme="majorHAnsi"/>
          <w:sz w:val="22"/>
          <w:szCs w:val="22"/>
        </w:rPr>
      </w:pPr>
      <w:r>
        <w:rPr>
          <w:rFonts w:asciiTheme="majorHAnsi" w:hAnsiTheme="majorHAnsi"/>
          <w:sz w:val="22"/>
        </w:rPr>
        <w:t>Hori jakinarazten dut, Nafarroako Parlamentuko Erregelamenduaren 215. artikuluan xedatutakoa betez.</w:t>
      </w:r>
    </w:p>
    <w:p w14:paraId="2E297A13" w14:textId="02B744BC" w:rsidR="003A51EA" w:rsidRPr="002B40E6" w:rsidRDefault="003A51EA" w:rsidP="002B40E6">
      <w:pPr>
        <w:spacing w:after="120" w:line="276" w:lineRule="auto"/>
        <w:jc w:val="both"/>
        <w:rPr>
          <w:rFonts w:asciiTheme="majorHAnsi" w:hAnsiTheme="majorHAnsi" w:cstheme="majorHAnsi"/>
          <w:color w:val="000000"/>
          <w:sz w:val="22"/>
          <w:szCs w:val="22"/>
        </w:rPr>
      </w:pPr>
      <w:r>
        <w:rPr>
          <w:rFonts w:asciiTheme="majorHAnsi" w:hAnsiTheme="majorHAnsi"/>
          <w:color w:val="000000"/>
          <w:sz w:val="22"/>
        </w:rPr>
        <w:t>Iruñean, 2026ko maiatzaren 6an</w:t>
      </w:r>
    </w:p>
    <w:p w14:paraId="59713177" w14:textId="735B9558" w:rsidR="000F27BD" w:rsidRPr="002B40E6" w:rsidRDefault="002B40E6" w:rsidP="002B40E6">
      <w:pPr>
        <w:spacing w:after="120" w:line="276" w:lineRule="auto"/>
        <w:jc w:val="both"/>
        <w:rPr>
          <w:rFonts w:asciiTheme="majorHAnsi" w:hAnsiTheme="majorHAnsi" w:cstheme="majorHAnsi"/>
          <w:sz w:val="22"/>
          <w:szCs w:val="22"/>
        </w:rPr>
      </w:pPr>
      <w:r>
        <w:rPr>
          <w:rFonts w:asciiTheme="majorHAnsi" w:hAnsiTheme="majorHAnsi"/>
          <w:sz w:val="22"/>
        </w:rPr>
        <w:t>Hirugarren lehendakariorde eta Etxebizitzako, Gazteriako eta Migrazio Politiketako kontseilaria: Begoña Alfaro García</w:t>
      </w:r>
    </w:p>
    <w:sectPr w:rsidR="000F27BD" w:rsidRPr="002B40E6" w:rsidSect="002B40E6">
      <w:headerReference w:type="first" r:id="rId7"/>
      <w:footerReference w:type="first" r:id="rId8"/>
      <w:pgSz w:w="11901" w:h="16817" w:code="9"/>
      <w:pgMar w:top="1701" w:right="1418" w:bottom="2977" w:left="1418" w:header="851" w:footer="1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9672" w14:textId="77777777" w:rsidR="009A7808" w:rsidRDefault="009A7808">
      <w:r>
        <w:separator/>
      </w:r>
    </w:p>
  </w:endnote>
  <w:endnote w:type="continuationSeparator" w:id="0">
    <w:p w14:paraId="65749C63" w14:textId="77777777" w:rsidR="009A7808" w:rsidRDefault="009A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FEF4" w14:textId="77777777"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75FD" w14:textId="77777777" w:rsidR="009A7808" w:rsidRDefault="009A7808">
      <w:r>
        <w:separator/>
      </w:r>
    </w:p>
  </w:footnote>
  <w:footnote w:type="continuationSeparator" w:id="0">
    <w:p w14:paraId="58CC9B16" w14:textId="77777777" w:rsidR="009A7808" w:rsidRDefault="009A7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65FF" w14:textId="77777777" w:rsidR="006A7F53" w:rsidRDefault="006A7F53" w:rsidP="00696F6F">
    <w:pPr>
      <w:pStyle w:val="Encabezado"/>
      <w:ind w:left="-765"/>
    </w:pPr>
    <w:r>
      <w:rPr>
        <w:noProof/>
      </w:rPr>
      <w:drawing>
        <wp:anchor distT="0" distB="0" distL="114300" distR="114300" simplePos="0" relativeHeight="251661312" behindDoc="1" locked="0" layoutInCell="1" allowOverlap="1" wp14:anchorId="7CE61D6E" wp14:editId="2303F92D">
          <wp:simplePos x="419100" y="542925"/>
          <wp:positionH relativeFrom="page">
            <wp:align>left</wp:align>
          </wp:positionH>
          <wp:positionV relativeFrom="page">
            <wp:align>top</wp:align>
          </wp:positionV>
          <wp:extent cx="7560000" cy="1796400"/>
          <wp:effectExtent l="0" t="0" r="317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2C2"/>
    <w:multiLevelType w:val="hybridMultilevel"/>
    <w:tmpl w:val="3DBA7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EB80EA0"/>
    <w:multiLevelType w:val="hybridMultilevel"/>
    <w:tmpl w:val="C4BCDDAE"/>
    <w:lvl w:ilvl="0" w:tplc="50D0B0B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60892D04"/>
    <w:multiLevelType w:val="hybridMultilevel"/>
    <w:tmpl w:val="60B43D08"/>
    <w:lvl w:ilvl="0" w:tplc="4E9E7CA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5A3727B"/>
    <w:multiLevelType w:val="hybridMultilevel"/>
    <w:tmpl w:val="A04055C2"/>
    <w:lvl w:ilvl="0" w:tplc="4E9E7CA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569194576">
    <w:abstractNumId w:val="1"/>
  </w:num>
  <w:num w:numId="2" w16cid:durableId="243105385">
    <w:abstractNumId w:val="12"/>
  </w:num>
  <w:num w:numId="3" w16cid:durableId="477067968">
    <w:abstractNumId w:val="3"/>
  </w:num>
  <w:num w:numId="4" w16cid:durableId="1276641494">
    <w:abstractNumId w:val="5"/>
  </w:num>
  <w:num w:numId="5" w16cid:durableId="1910773989">
    <w:abstractNumId w:val="15"/>
  </w:num>
  <w:num w:numId="6" w16cid:durableId="403721491">
    <w:abstractNumId w:val="8"/>
  </w:num>
  <w:num w:numId="7" w16cid:durableId="379480987">
    <w:abstractNumId w:val="2"/>
  </w:num>
  <w:num w:numId="8" w16cid:durableId="1184244765">
    <w:abstractNumId w:val="9"/>
  </w:num>
  <w:num w:numId="9" w16cid:durableId="2057852575">
    <w:abstractNumId w:val="13"/>
  </w:num>
  <w:num w:numId="10" w16cid:durableId="670528317">
    <w:abstractNumId w:val="6"/>
  </w:num>
  <w:num w:numId="11" w16cid:durableId="1259831115">
    <w:abstractNumId w:val="4"/>
  </w:num>
  <w:num w:numId="12" w16cid:durableId="2055998742">
    <w:abstractNumId w:val="16"/>
  </w:num>
  <w:num w:numId="13" w16cid:durableId="2037735183">
    <w:abstractNumId w:val="7"/>
  </w:num>
  <w:num w:numId="14" w16cid:durableId="1732579950">
    <w:abstractNumId w:val="0"/>
  </w:num>
  <w:num w:numId="15" w16cid:durableId="1853913195">
    <w:abstractNumId w:val="10"/>
  </w:num>
  <w:num w:numId="16" w16cid:durableId="1012688643">
    <w:abstractNumId w:val="14"/>
  </w:num>
  <w:num w:numId="17" w16cid:durableId="1906992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50D95"/>
    <w:rsid w:val="000631E5"/>
    <w:rsid w:val="000729E0"/>
    <w:rsid w:val="00083C0A"/>
    <w:rsid w:val="0009463A"/>
    <w:rsid w:val="000B64A1"/>
    <w:rsid w:val="000D79CF"/>
    <w:rsid w:val="000F27BD"/>
    <w:rsid w:val="00116AF7"/>
    <w:rsid w:val="0014013D"/>
    <w:rsid w:val="00165095"/>
    <w:rsid w:val="00166C59"/>
    <w:rsid w:val="001671B2"/>
    <w:rsid w:val="00170AFF"/>
    <w:rsid w:val="00186702"/>
    <w:rsid w:val="001B1ACE"/>
    <w:rsid w:val="001F5AE6"/>
    <w:rsid w:val="00247EB5"/>
    <w:rsid w:val="00253366"/>
    <w:rsid w:val="00277C9A"/>
    <w:rsid w:val="00280F08"/>
    <w:rsid w:val="002B40E6"/>
    <w:rsid w:val="002F09C8"/>
    <w:rsid w:val="00304004"/>
    <w:rsid w:val="00311477"/>
    <w:rsid w:val="003566BA"/>
    <w:rsid w:val="00374714"/>
    <w:rsid w:val="00384363"/>
    <w:rsid w:val="003A51EA"/>
    <w:rsid w:val="003C1CF1"/>
    <w:rsid w:val="003E62BD"/>
    <w:rsid w:val="003F1206"/>
    <w:rsid w:val="00443A44"/>
    <w:rsid w:val="004563C0"/>
    <w:rsid w:val="004B47C0"/>
    <w:rsid w:val="00503BC5"/>
    <w:rsid w:val="00524CFD"/>
    <w:rsid w:val="005367EB"/>
    <w:rsid w:val="005A7259"/>
    <w:rsid w:val="005B095B"/>
    <w:rsid w:val="005B5B3B"/>
    <w:rsid w:val="005C6849"/>
    <w:rsid w:val="005C6F85"/>
    <w:rsid w:val="005E5D10"/>
    <w:rsid w:val="005F55EF"/>
    <w:rsid w:val="005F5C77"/>
    <w:rsid w:val="005F6D5D"/>
    <w:rsid w:val="006557F1"/>
    <w:rsid w:val="00663B51"/>
    <w:rsid w:val="00683497"/>
    <w:rsid w:val="00696F6F"/>
    <w:rsid w:val="006A249B"/>
    <w:rsid w:val="006A5952"/>
    <w:rsid w:val="006A7F53"/>
    <w:rsid w:val="007018B0"/>
    <w:rsid w:val="007058D9"/>
    <w:rsid w:val="0071169E"/>
    <w:rsid w:val="0072285D"/>
    <w:rsid w:val="00767509"/>
    <w:rsid w:val="00771BD1"/>
    <w:rsid w:val="00793F61"/>
    <w:rsid w:val="007C55BD"/>
    <w:rsid w:val="007C68F3"/>
    <w:rsid w:val="007F2C1A"/>
    <w:rsid w:val="007F433A"/>
    <w:rsid w:val="00827DEE"/>
    <w:rsid w:val="00834D40"/>
    <w:rsid w:val="008354B9"/>
    <w:rsid w:val="00840386"/>
    <w:rsid w:val="00843157"/>
    <w:rsid w:val="008518CC"/>
    <w:rsid w:val="008642B3"/>
    <w:rsid w:val="00872C8C"/>
    <w:rsid w:val="00886FD0"/>
    <w:rsid w:val="00890160"/>
    <w:rsid w:val="00890456"/>
    <w:rsid w:val="008A6304"/>
    <w:rsid w:val="009022B4"/>
    <w:rsid w:val="0090494F"/>
    <w:rsid w:val="0093759B"/>
    <w:rsid w:val="00954697"/>
    <w:rsid w:val="00994342"/>
    <w:rsid w:val="009A7808"/>
    <w:rsid w:val="009C2ED9"/>
    <w:rsid w:val="009C74F8"/>
    <w:rsid w:val="009E202F"/>
    <w:rsid w:val="009E22FA"/>
    <w:rsid w:val="009E381E"/>
    <w:rsid w:val="00A077F0"/>
    <w:rsid w:val="00A117E7"/>
    <w:rsid w:val="00A2145B"/>
    <w:rsid w:val="00A52259"/>
    <w:rsid w:val="00A85153"/>
    <w:rsid w:val="00A95321"/>
    <w:rsid w:val="00B13A40"/>
    <w:rsid w:val="00B46857"/>
    <w:rsid w:val="00B662C6"/>
    <w:rsid w:val="00B67FDD"/>
    <w:rsid w:val="00B930F6"/>
    <w:rsid w:val="00B96F7E"/>
    <w:rsid w:val="00BB36D2"/>
    <w:rsid w:val="00BD378D"/>
    <w:rsid w:val="00BD6A02"/>
    <w:rsid w:val="00BE2BD3"/>
    <w:rsid w:val="00BF4CC5"/>
    <w:rsid w:val="00C45E0E"/>
    <w:rsid w:val="00C6698E"/>
    <w:rsid w:val="00C9552C"/>
    <w:rsid w:val="00CA2943"/>
    <w:rsid w:val="00CC1284"/>
    <w:rsid w:val="00CD13AF"/>
    <w:rsid w:val="00CE65F5"/>
    <w:rsid w:val="00D304C8"/>
    <w:rsid w:val="00D76DC5"/>
    <w:rsid w:val="00D9466D"/>
    <w:rsid w:val="00DA599A"/>
    <w:rsid w:val="00DB1E2F"/>
    <w:rsid w:val="00DB4349"/>
    <w:rsid w:val="00DD353F"/>
    <w:rsid w:val="00DF056E"/>
    <w:rsid w:val="00DF6784"/>
    <w:rsid w:val="00E04602"/>
    <w:rsid w:val="00E42AA5"/>
    <w:rsid w:val="00E44636"/>
    <w:rsid w:val="00E45FC9"/>
    <w:rsid w:val="00E5027B"/>
    <w:rsid w:val="00E54191"/>
    <w:rsid w:val="00E8181E"/>
    <w:rsid w:val="00E96713"/>
    <w:rsid w:val="00EB05BE"/>
    <w:rsid w:val="00EB7016"/>
    <w:rsid w:val="00F037C2"/>
    <w:rsid w:val="00F145C3"/>
    <w:rsid w:val="00F344C7"/>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34E38"/>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172502333">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 w:id="314182976">
      <w:bodyDiv w:val="1"/>
      <w:marLeft w:val="0"/>
      <w:marRight w:val="0"/>
      <w:marTop w:val="0"/>
      <w:marBottom w:val="0"/>
      <w:divBdr>
        <w:top w:val="none" w:sz="0" w:space="0" w:color="auto"/>
        <w:left w:val="none" w:sz="0" w:space="0" w:color="auto"/>
        <w:bottom w:val="none" w:sz="0" w:space="0" w:color="auto"/>
        <w:right w:val="none" w:sz="0" w:space="0" w:color="auto"/>
      </w:divBdr>
    </w:div>
    <w:div w:id="344603032">
      <w:bodyDiv w:val="1"/>
      <w:marLeft w:val="0"/>
      <w:marRight w:val="0"/>
      <w:marTop w:val="0"/>
      <w:marBottom w:val="0"/>
      <w:divBdr>
        <w:top w:val="none" w:sz="0" w:space="0" w:color="auto"/>
        <w:left w:val="none" w:sz="0" w:space="0" w:color="auto"/>
        <w:bottom w:val="none" w:sz="0" w:space="0" w:color="auto"/>
        <w:right w:val="none" w:sz="0" w:space="0" w:color="auto"/>
      </w:divBdr>
    </w:div>
    <w:div w:id="396783173">
      <w:bodyDiv w:val="1"/>
      <w:marLeft w:val="0"/>
      <w:marRight w:val="0"/>
      <w:marTop w:val="0"/>
      <w:marBottom w:val="0"/>
      <w:divBdr>
        <w:top w:val="none" w:sz="0" w:space="0" w:color="auto"/>
        <w:left w:val="none" w:sz="0" w:space="0" w:color="auto"/>
        <w:bottom w:val="none" w:sz="0" w:space="0" w:color="auto"/>
        <w:right w:val="none" w:sz="0" w:space="0" w:color="auto"/>
      </w:divBdr>
    </w:div>
    <w:div w:id="636106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367</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9</cp:revision>
  <cp:lastPrinted>2024-10-22T07:46:00Z</cp:lastPrinted>
  <dcterms:created xsi:type="dcterms:W3CDTF">2026-05-05T09:40:00Z</dcterms:created>
  <dcterms:modified xsi:type="dcterms:W3CDTF">2026-05-21T12:24:00Z</dcterms:modified>
</cp:coreProperties>
</file>