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991B3" w14:textId="5B70B52B" w:rsidR="00934199" w:rsidRPr="0024677D" w:rsidRDefault="00B07455" w:rsidP="0024677D">
      <w:pPr>
        <w:spacing w:before="120" w:after="120" w:line="276" w:lineRule="auto"/>
        <w:ind w:firstLine="540"/>
        <w:rPr>
          <w:rFonts w:asciiTheme="minorHAnsi" w:hAnsiTheme="minorHAnsi" w:cstheme="minorHAnsi"/>
          <w:sz w:val="22"/>
          <w:szCs w:val="22"/>
        </w:rPr>
      </w:pPr>
      <w:r w:rsidRPr="0024677D">
        <w:rPr>
          <w:rFonts w:asciiTheme="minorHAnsi" w:hAnsiTheme="minorHAnsi" w:cstheme="minorHAnsi"/>
          <w:color w:val="000000"/>
          <w:sz w:val="22"/>
          <w:szCs w:val="22"/>
        </w:rPr>
        <w:t xml:space="preserve">El Consejero de Desarrollo Rural y Medio Ambiente, en relación a la </w:t>
      </w:r>
      <w:r w:rsidR="002F227B" w:rsidRPr="0024677D">
        <w:rPr>
          <w:rFonts w:asciiTheme="minorHAnsi" w:hAnsiTheme="minorHAnsi" w:cstheme="minorHAnsi"/>
          <w:color w:val="000000"/>
          <w:sz w:val="22"/>
          <w:szCs w:val="22"/>
        </w:rPr>
        <w:t xml:space="preserve">pregunta escrita </w:t>
      </w:r>
      <w:r w:rsidRPr="0024677D">
        <w:rPr>
          <w:rFonts w:asciiTheme="minorHAnsi" w:hAnsiTheme="minorHAnsi" w:cstheme="minorHAnsi"/>
          <w:sz w:val="22"/>
          <w:szCs w:val="22"/>
        </w:rPr>
        <w:t>11-2</w:t>
      </w:r>
      <w:r w:rsidR="00012EE8" w:rsidRPr="0024677D">
        <w:rPr>
          <w:rFonts w:asciiTheme="minorHAnsi" w:hAnsiTheme="minorHAnsi" w:cstheme="minorHAnsi"/>
          <w:sz w:val="22"/>
          <w:szCs w:val="22"/>
        </w:rPr>
        <w:t>6</w:t>
      </w:r>
      <w:r w:rsidRPr="0024677D">
        <w:rPr>
          <w:rFonts w:asciiTheme="minorHAnsi" w:hAnsiTheme="minorHAnsi" w:cstheme="minorHAnsi"/>
          <w:sz w:val="22"/>
          <w:szCs w:val="22"/>
        </w:rPr>
        <w:t>/</w:t>
      </w:r>
      <w:r w:rsidR="002E2482" w:rsidRPr="0024677D">
        <w:rPr>
          <w:rFonts w:asciiTheme="minorHAnsi" w:hAnsiTheme="minorHAnsi" w:cstheme="minorHAnsi"/>
          <w:sz w:val="22"/>
          <w:szCs w:val="22"/>
        </w:rPr>
        <w:t>PES</w:t>
      </w:r>
      <w:r w:rsidR="00B46A35" w:rsidRPr="0024677D">
        <w:rPr>
          <w:rFonts w:asciiTheme="minorHAnsi" w:hAnsiTheme="minorHAnsi" w:cstheme="minorHAnsi"/>
          <w:sz w:val="22"/>
          <w:szCs w:val="22"/>
        </w:rPr>
        <w:t>-00124</w:t>
      </w:r>
      <w:r w:rsidRPr="0024677D">
        <w:rPr>
          <w:rFonts w:asciiTheme="minorHAnsi" w:hAnsiTheme="minorHAnsi" w:cstheme="minorHAnsi"/>
          <w:sz w:val="22"/>
          <w:szCs w:val="22"/>
        </w:rPr>
        <w:t xml:space="preserve"> solicitada por el Parlamentario Foral Ilmo. Sr. </w:t>
      </w:r>
      <w:r w:rsidR="0024677D" w:rsidRPr="0024677D">
        <w:rPr>
          <w:rFonts w:asciiTheme="minorHAnsi" w:hAnsiTheme="minorHAnsi" w:cstheme="minorHAnsi"/>
          <w:color w:val="000000"/>
          <w:sz w:val="22"/>
          <w:szCs w:val="22"/>
        </w:rPr>
        <w:t xml:space="preserve">don </w:t>
      </w:r>
      <w:r w:rsidR="00B46A35" w:rsidRPr="0024677D">
        <w:rPr>
          <w:rFonts w:asciiTheme="minorHAnsi" w:hAnsiTheme="minorHAnsi" w:cstheme="minorHAnsi"/>
          <w:color w:val="000000"/>
          <w:sz w:val="22"/>
          <w:szCs w:val="22"/>
        </w:rPr>
        <w:t>Adolfo Araiz Flamarique.</w:t>
      </w:r>
      <w:r w:rsidR="00BC3A3A" w:rsidRPr="0024677D">
        <w:rPr>
          <w:rFonts w:asciiTheme="minorHAnsi" w:hAnsiTheme="minorHAnsi" w:cstheme="minorHAnsi"/>
          <w:color w:val="000000"/>
          <w:sz w:val="22"/>
          <w:szCs w:val="22"/>
        </w:rPr>
        <w:t>,</w:t>
      </w:r>
      <w:r w:rsidR="00BC3A3A" w:rsidRPr="0024677D">
        <w:rPr>
          <w:rFonts w:asciiTheme="minorHAnsi" w:hAnsiTheme="minorHAnsi" w:cstheme="minorHAnsi"/>
          <w:sz w:val="22"/>
          <w:szCs w:val="22"/>
        </w:rPr>
        <w:t xml:space="preserve"> adscrito al Grupo Parlamentario</w:t>
      </w:r>
      <w:r w:rsidR="00B46A35" w:rsidRPr="0024677D">
        <w:rPr>
          <w:rFonts w:asciiTheme="minorHAnsi" w:hAnsiTheme="minorHAnsi" w:cstheme="minorHAnsi"/>
          <w:sz w:val="22"/>
          <w:szCs w:val="22"/>
        </w:rPr>
        <w:t xml:space="preserve"> EH </w:t>
      </w:r>
      <w:r w:rsidR="0024677D" w:rsidRPr="0024677D">
        <w:rPr>
          <w:rFonts w:asciiTheme="minorHAnsi" w:hAnsiTheme="minorHAnsi" w:cstheme="minorHAnsi"/>
          <w:sz w:val="22"/>
          <w:szCs w:val="22"/>
        </w:rPr>
        <w:t>Bildu Nafarroa</w:t>
      </w:r>
      <w:r w:rsidR="00BC3A3A" w:rsidRPr="0024677D">
        <w:rPr>
          <w:rFonts w:asciiTheme="minorHAnsi" w:hAnsiTheme="minorHAnsi" w:cstheme="minorHAnsi"/>
          <w:sz w:val="22"/>
          <w:szCs w:val="22"/>
        </w:rPr>
        <w:t xml:space="preserve">, </w:t>
      </w:r>
      <w:r w:rsidR="001C2E8E" w:rsidRPr="0024677D">
        <w:rPr>
          <w:rFonts w:asciiTheme="minorHAnsi" w:hAnsiTheme="minorHAnsi" w:cstheme="minorHAnsi"/>
          <w:sz w:val="22"/>
          <w:szCs w:val="22"/>
        </w:rPr>
        <w:t>sobre</w:t>
      </w:r>
      <w:r w:rsidR="00B46A35" w:rsidRPr="0024677D">
        <w:rPr>
          <w:rFonts w:asciiTheme="minorHAnsi" w:hAnsiTheme="minorHAnsi" w:cstheme="minorHAnsi"/>
          <w:sz w:val="22"/>
          <w:szCs w:val="22"/>
        </w:rPr>
        <w:t xml:space="preserve"> la </w:t>
      </w:r>
      <w:r w:rsidR="00E85F7A" w:rsidRPr="0024677D">
        <w:rPr>
          <w:rFonts w:asciiTheme="minorHAnsi" w:hAnsiTheme="minorHAnsi" w:cstheme="minorHAnsi"/>
          <w:sz w:val="22"/>
          <w:szCs w:val="22"/>
        </w:rPr>
        <w:t xml:space="preserve">declaración de compatibilidad o la prevalencia para proyectos que puedan afectar a monte o terreno forestal incluido en el catálogo de montes de </w:t>
      </w:r>
      <w:r w:rsidR="00B46A35" w:rsidRPr="0024677D">
        <w:rPr>
          <w:rFonts w:asciiTheme="minorHAnsi" w:hAnsiTheme="minorHAnsi" w:cstheme="minorHAnsi"/>
          <w:sz w:val="22"/>
          <w:szCs w:val="22"/>
        </w:rPr>
        <w:t xml:space="preserve">utilidad </w:t>
      </w:r>
      <w:r w:rsidR="00E85F7A" w:rsidRPr="0024677D">
        <w:rPr>
          <w:rFonts w:asciiTheme="minorHAnsi" w:hAnsiTheme="minorHAnsi" w:cstheme="minorHAnsi"/>
          <w:sz w:val="22"/>
          <w:szCs w:val="22"/>
        </w:rPr>
        <w:t>p</w:t>
      </w:r>
      <w:r w:rsidR="00B46A35" w:rsidRPr="0024677D">
        <w:rPr>
          <w:rFonts w:asciiTheme="minorHAnsi" w:hAnsiTheme="minorHAnsi" w:cstheme="minorHAnsi"/>
          <w:sz w:val="22"/>
          <w:szCs w:val="22"/>
        </w:rPr>
        <w:t>ública</w:t>
      </w:r>
      <w:r w:rsidR="00E85F7A" w:rsidRPr="0024677D">
        <w:rPr>
          <w:rFonts w:asciiTheme="minorHAnsi" w:hAnsiTheme="minorHAnsi" w:cstheme="minorHAnsi"/>
          <w:sz w:val="22"/>
          <w:szCs w:val="22"/>
        </w:rPr>
        <w:t xml:space="preserve"> de Navarra</w:t>
      </w:r>
      <w:r w:rsidR="00B46A35" w:rsidRPr="0024677D">
        <w:rPr>
          <w:rFonts w:asciiTheme="minorHAnsi" w:hAnsiTheme="minorHAnsi" w:cstheme="minorHAnsi"/>
          <w:sz w:val="22"/>
          <w:szCs w:val="22"/>
        </w:rPr>
        <w:t xml:space="preserve"> </w:t>
      </w:r>
      <w:r w:rsidR="00E85F7A" w:rsidRPr="0024677D">
        <w:rPr>
          <w:rFonts w:asciiTheme="minorHAnsi" w:hAnsiTheme="minorHAnsi" w:cstheme="minorHAnsi"/>
          <w:sz w:val="22"/>
          <w:szCs w:val="22"/>
        </w:rPr>
        <w:t xml:space="preserve">referido </w:t>
      </w:r>
      <w:r w:rsidR="00492EFF" w:rsidRPr="0024677D">
        <w:rPr>
          <w:rFonts w:asciiTheme="minorHAnsi" w:hAnsiTheme="minorHAnsi" w:cstheme="minorHAnsi"/>
          <w:sz w:val="22"/>
          <w:szCs w:val="22"/>
        </w:rPr>
        <w:t xml:space="preserve">al proyecto minero Mina Muga impulsado por la mercantil </w:t>
      </w:r>
      <w:r w:rsidR="0024677D" w:rsidRPr="0024677D">
        <w:rPr>
          <w:rFonts w:asciiTheme="minorHAnsi" w:hAnsiTheme="minorHAnsi" w:cstheme="minorHAnsi"/>
          <w:sz w:val="22"/>
          <w:szCs w:val="22"/>
        </w:rPr>
        <w:t xml:space="preserve">Geoalcali </w:t>
      </w:r>
      <w:r w:rsidR="00492EFF" w:rsidRPr="0024677D">
        <w:rPr>
          <w:rFonts w:asciiTheme="minorHAnsi" w:hAnsiTheme="minorHAnsi" w:cstheme="minorHAnsi"/>
          <w:sz w:val="22"/>
          <w:szCs w:val="22"/>
        </w:rPr>
        <w:t>SL en el</w:t>
      </w:r>
      <w:r w:rsidR="00E85F7A" w:rsidRPr="0024677D">
        <w:rPr>
          <w:rFonts w:asciiTheme="minorHAnsi" w:hAnsiTheme="minorHAnsi" w:cstheme="minorHAnsi"/>
          <w:sz w:val="22"/>
          <w:szCs w:val="22"/>
        </w:rPr>
        <w:t xml:space="preserve"> monte de utilidad pública </w:t>
      </w:r>
      <w:r w:rsidR="00B46A35" w:rsidRPr="0024677D">
        <w:rPr>
          <w:rFonts w:asciiTheme="minorHAnsi" w:hAnsiTheme="minorHAnsi" w:cstheme="minorHAnsi"/>
          <w:sz w:val="22"/>
          <w:szCs w:val="22"/>
        </w:rPr>
        <w:t>191 "Las Selvas",</w:t>
      </w:r>
      <w:r w:rsidR="001C2E8E" w:rsidRPr="0024677D">
        <w:rPr>
          <w:rFonts w:asciiTheme="minorHAnsi" w:hAnsiTheme="minorHAnsi" w:cstheme="minorHAnsi"/>
          <w:sz w:val="22"/>
          <w:szCs w:val="22"/>
        </w:rPr>
        <w:t xml:space="preserve"> </w:t>
      </w:r>
      <w:r w:rsidR="00BC3A3A" w:rsidRPr="0024677D">
        <w:rPr>
          <w:rFonts w:asciiTheme="minorHAnsi" w:hAnsiTheme="minorHAnsi" w:cstheme="minorHAnsi"/>
          <w:sz w:val="22"/>
          <w:szCs w:val="22"/>
        </w:rPr>
        <w:t xml:space="preserve">tiene el honor de </w:t>
      </w:r>
      <w:r w:rsidR="00E85F7A" w:rsidRPr="0024677D">
        <w:rPr>
          <w:rFonts w:asciiTheme="minorHAnsi" w:hAnsiTheme="minorHAnsi" w:cstheme="minorHAnsi"/>
          <w:sz w:val="22"/>
          <w:szCs w:val="22"/>
        </w:rPr>
        <w:t>responder a las preguntas planteadas</w:t>
      </w:r>
      <w:r w:rsidRPr="0024677D">
        <w:rPr>
          <w:rFonts w:asciiTheme="minorHAnsi" w:hAnsiTheme="minorHAnsi" w:cstheme="minorHAnsi"/>
          <w:sz w:val="22"/>
          <w:szCs w:val="22"/>
        </w:rPr>
        <w:t>:</w:t>
      </w:r>
    </w:p>
    <w:p w14:paraId="319766AE" w14:textId="62AF9F68" w:rsidR="00E85F7A" w:rsidRPr="0024677D" w:rsidRDefault="00E85F7A" w:rsidP="0024677D">
      <w:pPr>
        <w:spacing w:before="120" w:after="120" w:line="276" w:lineRule="auto"/>
        <w:ind w:firstLine="709"/>
        <w:rPr>
          <w:rFonts w:asciiTheme="minorHAnsi" w:hAnsiTheme="minorHAnsi" w:cstheme="minorHAnsi"/>
          <w:b/>
          <w:i/>
          <w:sz w:val="22"/>
          <w:szCs w:val="22"/>
        </w:rPr>
      </w:pPr>
      <w:r w:rsidRPr="0024677D">
        <w:rPr>
          <w:rFonts w:asciiTheme="minorHAnsi" w:hAnsiTheme="minorHAnsi" w:cstheme="minorHAnsi"/>
          <w:b/>
          <w:i/>
          <w:sz w:val="22"/>
          <w:szCs w:val="22"/>
        </w:rPr>
        <w:t>1.</w:t>
      </w:r>
      <w:r w:rsidR="0024677D">
        <w:rPr>
          <w:rFonts w:asciiTheme="minorHAnsi" w:hAnsiTheme="minorHAnsi" w:cstheme="minorHAnsi"/>
          <w:b/>
          <w:i/>
          <w:sz w:val="22"/>
          <w:szCs w:val="22"/>
        </w:rPr>
        <w:t xml:space="preserve"> </w:t>
      </w:r>
      <w:r w:rsidRPr="0024677D">
        <w:rPr>
          <w:rFonts w:asciiTheme="minorHAnsi" w:hAnsiTheme="minorHAnsi" w:cstheme="minorHAnsi"/>
          <w:b/>
          <w:i/>
          <w:sz w:val="22"/>
          <w:szCs w:val="22"/>
        </w:rPr>
        <w:t xml:space="preserve">¿Tiene solicitada </w:t>
      </w:r>
      <w:r w:rsidR="0024677D" w:rsidRPr="0024677D">
        <w:rPr>
          <w:rFonts w:asciiTheme="minorHAnsi" w:hAnsiTheme="minorHAnsi" w:cstheme="minorHAnsi"/>
          <w:b/>
          <w:i/>
          <w:sz w:val="22"/>
          <w:szCs w:val="22"/>
        </w:rPr>
        <w:t>Geo</w:t>
      </w:r>
      <w:r w:rsidR="0024677D">
        <w:rPr>
          <w:rFonts w:asciiTheme="minorHAnsi" w:hAnsiTheme="minorHAnsi" w:cstheme="minorHAnsi"/>
          <w:b/>
          <w:i/>
          <w:sz w:val="22"/>
          <w:szCs w:val="22"/>
        </w:rPr>
        <w:t>a</w:t>
      </w:r>
      <w:r w:rsidR="0024677D" w:rsidRPr="0024677D">
        <w:rPr>
          <w:rFonts w:asciiTheme="minorHAnsi" w:hAnsiTheme="minorHAnsi" w:cstheme="minorHAnsi"/>
          <w:b/>
          <w:i/>
          <w:sz w:val="22"/>
          <w:szCs w:val="22"/>
        </w:rPr>
        <w:t xml:space="preserve">lcali </w:t>
      </w:r>
      <w:r w:rsidRPr="0024677D">
        <w:rPr>
          <w:rFonts w:asciiTheme="minorHAnsi" w:hAnsiTheme="minorHAnsi" w:cstheme="minorHAnsi"/>
          <w:b/>
          <w:i/>
          <w:sz w:val="22"/>
          <w:szCs w:val="22"/>
        </w:rPr>
        <w:t>SL la tramitación de la declaración de compatibilidad o prevalencia del proyecto Mina Muga en relación a su ocupación de 21 hectáreas de declaración de compatibilidad o prevalencia?</w:t>
      </w:r>
    </w:p>
    <w:p w14:paraId="184AF55C" w14:textId="3E184050" w:rsidR="00E165A6" w:rsidRPr="0024677D" w:rsidRDefault="0024677D"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Geo</w:t>
      </w:r>
      <w:r>
        <w:rPr>
          <w:rFonts w:asciiTheme="minorHAnsi" w:hAnsiTheme="minorHAnsi" w:cstheme="minorHAnsi"/>
          <w:sz w:val="22"/>
          <w:szCs w:val="22"/>
        </w:rPr>
        <w:t>a</w:t>
      </w:r>
      <w:r w:rsidRPr="0024677D">
        <w:rPr>
          <w:rFonts w:asciiTheme="minorHAnsi" w:hAnsiTheme="minorHAnsi" w:cstheme="minorHAnsi"/>
          <w:sz w:val="22"/>
          <w:szCs w:val="22"/>
        </w:rPr>
        <w:t xml:space="preserve">lcali </w:t>
      </w:r>
      <w:r w:rsidR="00E165A6" w:rsidRPr="0024677D">
        <w:rPr>
          <w:rFonts w:asciiTheme="minorHAnsi" w:hAnsiTheme="minorHAnsi" w:cstheme="minorHAnsi"/>
          <w:sz w:val="22"/>
          <w:szCs w:val="22"/>
        </w:rPr>
        <w:t xml:space="preserve">SL ha solicitado ante la Sección de Gestión Forestal del Gobierno de Navarra, para el proyecto Mina Muga, autorización de servidumbres y ocupaciones temporales en los montes catalogados de utilidad pública. </w:t>
      </w:r>
    </w:p>
    <w:p w14:paraId="0EB37D3A" w14:textId="480CE066" w:rsidR="00E85F7A" w:rsidRPr="0024677D" w:rsidRDefault="00E85F7A" w:rsidP="0024677D">
      <w:pPr>
        <w:spacing w:before="120" w:after="120" w:line="276" w:lineRule="auto"/>
        <w:ind w:firstLine="709"/>
        <w:rPr>
          <w:rFonts w:asciiTheme="minorHAnsi" w:hAnsiTheme="minorHAnsi" w:cstheme="minorHAnsi"/>
          <w:b/>
          <w:sz w:val="22"/>
          <w:szCs w:val="22"/>
        </w:rPr>
      </w:pPr>
      <w:r w:rsidRPr="0024677D">
        <w:rPr>
          <w:rFonts w:asciiTheme="minorHAnsi" w:hAnsiTheme="minorHAnsi" w:cstheme="minorHAnsi"/>
          <w:b/>
          <w:sz w:val="22"/>
          <w:szCs w:val="22"/>
        </w:rPr>
        <w:t>2.</w:t>
      </w:r>
      <w:r w:rsidR="0024677D" w:rsidRPr="0024677D">
        <w:rPr>
          <w:rFonts w:asciiTheme="minorHAnsi" w:hAnsiTheme="minorHAnsi" w:cstheme="minorHAnsi"/>
          <w:b/>
          <w:sz w:val="22"/>
          <w:szCs w:val="22"/>
        </w:rPr>
        <w:t xml:space="preserve"> ¿</w:t>
      </w:r>
      <w:r w:rsidRPr="0024677D">
        <w:rPr>
          <w:rFonts w:asciiTheme="minorHAnsi" w:hAnsiTheme="minorHAnsi" w:cstheme="minorHAnsi"/>
          <w:b/>
          <w:sz w:val="22"/>
          <w:szCs w:val="22"/>
        </w:rPr>
        <w:t>Cuándo se presentó esa solicitud?</w:t>
      </w:r>
    </w:p>
    <w:p w14:paraId="16D7D365" w14:textId="306A1F8B" w:rsidR="00E165A6" w:rsidRPr="0024677D" w:rsidRDefault="00E165A6" w:rsidP="0024677D">
      <w:pPr>
        <w:spacing w:before="120" w:after="120" w:line="276" w:lineRule="auto"/>
        <w:ind w:firstLine="709"/>
        <w:rPr>
          <w:rFonts w:asciiTheme="minorHAnsi" w:hAnsiTheme="minorHAnsi" w:cstheme="minorHAnsi"/>
          <w:b/>
          <w:sz w:val="22"/>
          <w:szCs w:val="22"/>
        </w:rPr>
      </w:pPr>
      <w:r w:rsidRPr="0024677D">
        <w:rPr>
          <w:rFonts w:asciiTheme="minorHAnsi" w:hAnsiTheme="minorHAnsi" w:cstheme="minorHAnsi"/>
          <w:sz w:val="22"/>
          <w:szCs w:val="22"/>
        </w:rPr>
        <w:t>La solicitud se presenta con fecha 10 de febrero de 2023</w:t>
      </w:r>
      <w:r w:rsidR="003722A4">
        <w:rPr>
          <w:rFonts w:asciiTheme="minorHAnsi" w:hAnsiTheme="minorHAnsi" w:cstheme="minorHAnsi"/>
          <w:sz w:val="22"/>
          <w:szCs w:val="22"/>
        </w:rPr>
        <w:t>.</w:t>
      </w:r>
    </w:p>
    <w:p w14:paraId="70D57B71" w14:textId="69A7B3A8" w:rsidR="00E85F7A" w:rsidRPr="0024677D" w:rsidRDefault="00E85F7A" w:rsidP="0024677D">
      <w:pPr>
        <w:spacing w:before="120" w:after="120" w:line="276" w:lineRule="auto"/>
        <w:ind w:firstLine="709"/>
        <w:rPr>
          <w:rFonts w:asciiTheme="minorHAnsi" w:hAnsiTheme="minorHAnsi" w:cstheme="minorHAnsi"/>
          <w:b/>
          <w:sz w:val="22"/>
          <w:szCs w:val="22"/>
        </w:rPr>
      </w:pPr>
      <w:r w:rsidRPr="0024677D">
        <w:rPr>
          <w:rFonts w:asciiTheme="minorHAnsi" w:hAnsiTheme="minorHAnsi" w:cstheme="minorHAnsi"/>
          <w:b/>
          <w:sz w:val="22"/>
          <w:szCs w:val="22"/>
        </w:rPr>
        <w:t>3.</w:t>
      </w:r>
      <w:r w:rsidR="0024677D">
        <w:rPr>
          <w:rFonts w:asciiTheme="minorHAnsi" w:hAnsiTheme="minorHAnsi" w:cstheme="minorHAnsi"/>
          <w:b/>
          <w:sz w:val="22"/>
          <w:szCs w:val="22"/>
        </w:rPr>
        <w:t xml:space="preserve"> </w:t>
      </w:r>
      <w:r w:rsidRPr="0024677D">
        <w:rPr>
          <w:rFonts w:asciiTheme="minorHAnsi" w:hAnsiTheme="minorHAnsi" w:cstheme="minorHAnsi"/>
          <w:b/>
          <w:sz w:val="22"/>
          <w:szCs w:val="22"/>
        </w:rPr>
        <w:t>¿En qué situación administrativa se encuentra el expediente? ¿Para cuándo se prevé la resolución del mismo?</w:t>
      </w:r>
    </w:p>
    <w:p w14:paraId="48ED8F44" w14:textId="77777777" w:rsidR="00E165A6"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El procedimiento para la </w:t>
      </w:r>
      <w:r w:rsidR="00E165A6" w:rsidRPr="0024677D">
        <w:rPr>
          <w:rFonts w:asciiTheme="minorHAnsi" w:hAnsiTheme="minorHAnsi" w:cstheme="minorHAnsi"/>
          <w:sz w:val="22"/>
          <w:szCs w:val="22"/>
        </w:rPr>
        <w:t xml:space="preserve">autorización de servidumbres y ocupaciones temporales en los montes catalogados </w:t>
      </w:r>
      <w:r w:rsidRPr="0024677D">
        <w:rPr>
          <w:rFonts w:asciiTheme="minorHAnsi" w:hAnsiTheme="minorHAnsi" w:cstheme="minorHAnsi"/>
          <w:sz w:val="22"/>
          <w:szCs w:val="22"/>
        </w:rPr>
        <w:t>es el previsto</w:t>
      </w:r>
      <w:r w:rsidR="00E165A6" w:rsidRPr="0024677D">
        <w:rPr>
          <w:rFonts w:asciiTheme="minorHAnsi" w:hAnsiTheme="minorHAnsi" w:cstheme="minorHAnsi"/>
          <w:sz w:val="22"/>
          <w:szCs w:val="22"/>
        </w:rPr>
        <w:t xml:space="preserve"> en el artículo 50 del Reglamento de Montes de Navarra en desarrollo de la Ley Foral 13/1990, de Protección y Desarrollo del Patrimonio Forestal de Navarra, aprobado por Decreto Foral 59/1992</w:t>
      </w:r>
      <w:r w:rsidRPr="0024677D">
        <w:rPr>
          <w:rFonts w:asciiTheme="minorHAnsi" w:hAnsiTheme="minorHAnsi" w:cstheme="minorHAnsi"/>
          <w:sz w:val="22"/>
          <w:szCs w:val="22"/>
        </w:rPr>
        <w:t xml:space="preserve">, de 17 febrero. </w:t>
      </w:r>
    </w:p>
    <w:p w14:paraId="36BAF0A6" w14:textId="77777777" w:rsidR="00E165A6" w:rsidRPr="0024677D" w:rsidRDefault="00E165A6" w:rsidP="0024677D">
      <w:pPr>
        <w:spacing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Dicho artículo, en su punto sexto, establece el procedimiento a seguir para la autorización de servidumbres y ocupaciones en monte de utilidad pública. </w:t>
      </w:r>
    </w:p>
    <w:p w14:paraId="1B42B72C"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sidRPr="0024677D">
        <w:rPr>
          <w:rFonts w:asciiTheme="minorHAnsi" w:hAnsiTheme="minorHAnsi" w:cstheme="minorHAnsi"/>
          <w:i/>
          <w:sz w:val="22"/>
          <w:szCs w:val="22"/>
        </w:rPr>
        <w:t>6. A los efectos de lo dispuesto en este artículo, la tramitación del expediente será la siguiente:</w:t>
      </w:r>
    </w:p>
    <w:p w14:paraId="6979C542"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sidRPr="0024677D">
        <w:rPr>
          <w:rFonts w:asciiTheme="minorHAnsi" w:hAnsiTheme="minorHAnsi" w:cstheme="minorHAnsi"/>
          <w:i/>
          <w:sz w:val="22"/>
          <w:szCs w:val="22"/>
        </w:rPr>
        <w:t>a) Solicitud del promotor ante la Administración Forestal acompañando Memoria descriptiva de la servidumbre u ocupación temporal que se pretenda realizar, en la que se justifique su compatibilidad con la utilidad pública o el carácter protector del monte y el cumplimiento de lo establecido en el apartado 3, así como que posee título suficiente del titular del monte para llevar a cabo tal ocupación temporal o establecimiento de servidumbre, en caso de que el promotor no sea el titular del monte o la ocupación o servidumbre no venga impuesta por obra pública o declarada de interés público por el Gobierno de Navarra.</w:t>
      </w:r>
    </w:p>
    <w:p w14:paraId="7F91709B"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sidRPr="0024677D">
        <w:rPr>
          <w:rFonts w:asciiTheme="minorHAnsi" w:hAnsiTheme="minorHAnsi" w:cstheme="minorHAnsi"/>
          <w:i/>
          <w:sz w:val="22"/>
          <w:szCs w:val="22"/>
        </w:rPr>
        <w:t>b) Audiencia al titular del monte.</w:t>
      </w:r>
    </w:p>
    <w:p w14:paraId="0999DF46"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sidRPr="0024677D">
        <w:rPr>
          <w:rFonts w:asciiTheme="minorHAnsi" w:hAnsiTheme="minorHAnsi" w:cstheme="minorHAnsi"/>
          <w:i/>
          <w:sz w:val="22"/>
          <w:szCs w:val="22"/>
        </w:rPr>
        <w:t>c) Publicación en el tablón de anuncios de la Entidad Local donde radique el monte por plazo de quince días naturales.</w:t>
      </w:r>
    </w:p>
    <w:p w14:paraId="6F1748BC"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sidRPr="0024677D">
        <w:rPr>
          <w:rFonts w:asciiTheme="minorHAnsi" w:hAnsiTheme="minorHAnsi" w:cstheme="minorHAnsi"/>
          <w:i/>
          <w:sz w:val="22"/>
          <w:szCs w:val="22"/>
        </w:rPr>
        <w:t>d) La Administración Forestal realizará la valoración técnica del canon o indemnización a que se refiere el apartado 4 de este artículo.</w:t>
      </w:r>
    </w:p>
    <w:p w14:paraId="6B4E3900"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sidRPr="0024677D">
        <w:rPr>
          <w:rFonts w:asciiTheme="minorHAnsi" w:hAnsiTheme="minorHAnsi" w:cstheme="minorHAnsi"/>
          <w:i/>
          <w:sz w:val="22"/>
          <w:szCs w:val="22"/>
        </w:rPr>
        <w:lastRenderedPageBreak/>
        <w:t>e) La Administración Forestal recabará de la Medioambiental que, a la vista de lo actuado, emita el preceptivo informe vinculante.</w:t>
      </w:r>
    </w:p>
    <w:p w14:paraId="32ED93A3" w14:textId="77777777" w:rsidR="00E165A6" w:rsidRPr="0024677D" w:rsidRDefault="00E165A6" w:rsidP="0024677D">
      <w:pPr>
        <w:pBdr>
          <w:top w:val="single" w:sz="4" w:space="1" w:color="auto"/>
          <w:left w:val="single" w:sz="4" w:space="4" w:color="auto"/>
          <w:bottom w:val="single" w:sz="4" w:space="1" w:color="auto"/>
          <w:right w:val="single" w:sz="4" w:space="4" w:color="auto"/>
        </w:pBdr>
        <w:spacing w:after="120" w:line="276" w:lineRule="auto"/>
        <w:ind w:left="708" w:firstLine="709"/>
        <w:rPr>
          <w:rFonts w:asciiTheme="minorHAnsi" w:hAnsiTheme="minorHAnsi" w:cstheme="minorHAnsi"/>
          <w:i/>
          <w:sz w:val="22"/>
          <w:szCs w:val="22"/>
        </w:rPr>
      </w:pPr>
      <w:r w:rsidRPr="0024677D">
        <w:rPr>
          <w:rFonts w:asciiTheme="minorHAnsi" w:hAnsiTheme="minorHAnsi" w:cstheme="minorHAnsi"/>
          <w:i/>
          <w:sz w:val="22"/>
          <w:szCs w:val="22"/>
        </w:rPr>
        <w:t>f) Orden Foral del Consejero de Agricultura, Ganadería y Montes.</w:t>
      </w:r>
    </w:p>
    <w:p w14:paraId="0BD4C78F" w14:textId="1EB0B9A3"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Mediante informe de 17 de febrero de 2023 de la Sección de Gestión Forestal se da traslado del contenido del informe, así como la Memoria y planos presentados por el promotor, al Ayuntamiento de Sangüesa/</w:t>
      </w:r>
      <w:r w:rsidR="00801A1F">
        <w:rPr>
          <w:rFonts w:asciiTheme="minorHAnsi" w:hAnsiTheme="minorHAnsi" w:cstheme="minorHAnsi"/>
          <w:sz w:val="22"/>
          <w:szCs w:val="22"/>
        </w:rPr>
        <w:t>Zangozako Udala</w:t>
      </w:r>
      <w:r w:rsidRPr="0024677D">
        <w:rPr>
          <w:rFonts w:asciiTheme="minorHAnsi" w:hAnsiTheme="minorHAnsi" w:cstheme="minorHAnsi"/>
          <w:sz w:val="22"/>
          <w:szCs w:val="22"/>
        </w:rPr>
        <w:t xml:space="preserve">, como titular del monte de utilidad pública afectado por el proyecto. </w:t>
      </w:r>
    </w:p>
    <w:p w14:paraId="405DF809"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De esta forma se da audiencia al titular del monte para que publique en su tablón de anuncios por el plazo de quince días naturales y se continúe los siguientes pasos de la tramitación señalados en el Reglamento de Montes.</w:t>
      </w:r>
    </w:p>
    <w:p w14:paraId="70013946"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El Ayuntamiento publica, en el tablón de anuncios de la Entidad Local, la información anterior en el periodo comprendido entre el 27 de febrero y el 15 de marzo de 2023, habiéndose presentado alegaciones por parte de la Asociación Ecologistas en Acción de Sangüesa/Ongaiz.</w:t>
      </w:r>
    </w:p>
    <w:p w14:paraId="79FF219F" w14:textId="15665A32"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Con fecha 6 de marzo de 2023, el Ayuntamiento de Sangüesa/</w:t>
      </w:r>
      <w:r w:rsidR="00801A1F">
        <w:rPr>
          <w:rFonts w:asciiTheme="minorHAnsi" w:hAnsiTheme="minorHAnsi" w:cstheme="minorHAnsi"/>
          <w:sz w:val="22"/>
          <w:szCs w:val="22"/>
        </w:rPr>
        <w:t>Zangozako Udala</w:t>
      </w:r>
      <w:r w:rsidRPr="0024677D">
        <w:rPr>
          <w:rFonts w:asciiTheme="minorHAnsi" w:hAnsiTheme="minorHAnsi" w:cstheme="minorHAnsi"/>
          <w:sz w:val="22"/>
          <w:szCs w:val="22"/>
        </w:rPr>
        <w:t xml:space="preserve"> y de forma paralela a la publicidad de la Memoria de ocupación del monte, solicita aclaración a la Sección de Gestión Forestal, en relación a la documentación remitida por </w:t>
      </w:r>
      <w:r w:rsidR="0024677D" w:rsidRPr="0024677D">
        <w:rPr>
          <w:rFonts w:asciiTheme="minorHAnsi" w:hAnsiTheme="minorHAnsi" w:cstheme="minorHAnsi"/>
          <w:sz w:val="22"/>
          <w:szCs w:val="22"/>
        </w:rPr>
        <w:t xml:space="preserve">Geoalcali </w:t>
      </w:r>
      <w:r w:rsidRPr="0024677D">
        <w:rPr>
          <w:rFonts w:asciiTheme="minorHAnsi" w:hAnsiTheme="minorHAnsi" w:cstheme="minorHAnsi"/>
          <w:sz w:val="22"/>
          <w:szCs w:val="22"/>
        </w:rPr>
        <w:t>en el expediente de compatibilidad de montes de utilidad pública, en concreto, en relación con las superficies de las parcelas 8-659, 8-222 y 7-860 del T.M de Sangüesa.</w:t>
      </w:r>
    </w:p>
    <w:p w14:paraId="4BB9BFE1" w14:textId="7CCE82F2"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Sin esperar a la respuesta a dichas aclaraciones, con fecha 17 de marzo de 2023, el Ayuntamiento de Sangüesa/</w:t>
      </w:r>
      <w:r w:rsidR="00801A1F">
        <w:rPr>
          <w:rFonts w:asciiTheme="minorHAnsi" w:hAnsiTheme="minorHAnsi" w:cstheme="minorHAnsi"/>
          <w:sz w:val="22"/>
          <w:szCs w:val="22"/>
        </w:rPr>
        <w:t>Zangozako Udala</w:t>
      </w:r>
      <w:r w:rsidRPr="0024677D">
        <w:rPr>
          <w:rFonts w:asciiTheme="minorHAnsi" w:hAnsiTheme="minorHAnsi" w:cstheme="minorHAnsi"/>
          <w:sz w:val="22"/>
          <w:szCs w:val="22"/>
        </w:rPr>
        <w:t xml:space="preserve"> remite a la Sección de Gestión Forestal, las alegaciones presentadas por la Asociación Ecologistas en Acción de Sangüesa/Ongaiz durante el trámite de información pública.</w:t>
      </w:r>
    </w:p>
    <w:p w14:paraId="300302F7" w14:textId="560F2117"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Mediante informe fechado el 4 de abril de 2023, la Sección de Gestión Forestal informa al Ayuntamiento de Sangüesa/</w:t>
      </w:r>
      <w:r w:rsidR="00801A1F">
        <w:rPr>
          <w:rFonts w:asciiTheme="minorHAnsi" w:hAnsiTheme="minorHAnsi" w:cstheme="minorHAnsi"/>
          <w:sz w:val="22"/>
          <w:szCs w:val="22"/>
        </w:rPr>
        <w:t>Zangozako Udala</w:t>
      </w:r>
      <w:r w:rsidRPr="0024677D">
        <w:rPr>
          <w:rFonts w:asciiTheme="minorHAnsi" w:hAnsiTheme="minorHAnsi" w:cstheme="minorHAnsi"/>
          <w:sz w:val="22"/>
          <w:szCs w:val="22"/>
        </w:rPr>
        <w:t xml:space="preserve"> que, fruto de la solicitud de aclaración remitida el 17 de marzo de 2023, </w:t>
      </w:r>
      <w:r w:rsidR="0024677D" w:rsidRPr="0024677D">
        <w:rPr>
          <w:rFonts w:asciiTheme="minorHAnsi" w:hAnsiTheme="minorHAnsi" w:cstheme="minorHAnsi"/>
          <w:sz w:val="22"/>
          <w:szCs w:val="22"/>
        </w:rPr>
        <w:t xml:space="preserve">Geoalcali </w:t>
      </w:r>
      <w:r w:rsidRPr="0024677D">
        <w:rPr>
          <w:rFonts w:asciiTheme="minorHAnsi" w:hAnsiTheme="minorHAnsi" w:cstheme="minorHAnsi"/>
          <w:sz w:val="22"/>
          <w:szCs w:val="22"/>
        </w:rPr>
        <w:t xml:space="preserve">responde modificando la </w:t>
      </w:r>
      <w:r w:rsidR="0024677D" w:rsidRPr="0024677D">
        <w:rPr>
          <w:rFonts w:asciiTheme="minorHAnsi" w:hAnsiTheme="minorHAnsi" w:cstheme="minorHAnsi"/>
          <w:sz w:val="22"/>
          <w:szCs w:val="22"/>
        </w:rPr>
        <w:t xml:space="preserve">memoria </w:t>
      </w:r>
      <w:r w:rsidRPr="0024677D">
        <w:rPr>
          <w:rFonts w:asciiTheme="minorHAnsi" w:hAnsiTheme="minorHAnsi" w:cstheme="minorHAnsi"/>
          <w:sz w:val="22"/>
          <w:szCs w:val="22"/>
        </w:rPr>
        <w:t xml:space="preserve">descriptiva de servidumbre u ocupación presentada el 10 de febrero de 2023 y, sustituyéndola por una nueva </w:t>
      </w:r>
      <w:r w:rsidR="0024677D" w:rsidRPr="0024677D">
        <w:rPr>
          <w:rFonts w:asciiTheme="minorHAnsi" w:hAnsiTheme="minorHAnsi" w:cstheme="minorHAnsi"/>
          <w:sz w:val="22"/>
          <w:szCs w:val="22"/>
        </w:rPr>
        <w:t xml:space="preserve">memoria </w:t>
      </w:r>
      <w:r w:rsidRPr="0024677D">
        <w:rPr>
          <w:rFonts w:asciiTheme="minorHAnsi" w:hAnsiTheme="minorHAnsi" w:cstheme="minorHAnsi"/>
          <w:sz w:val="22"/>
          <w:szCs w:val="22"/>
        </w:rPr>
        <w:t>presentada por registro con fecha 31 de marzo de 2023. Memoria que es remitida nuevamente al Ayuntamiento de Sangüesa/</w:t>
      </w:r>
      <w:r w:rsidR="00801A1F">
        <w:rPr>
          <w:rFonts w:asciiTheme="minorHAnsi" w:hAnsiTheme="minorHAnsi" w:cstheme="minorHAnsi"/>
          <w:sz w:val="22"/>
          <w:szCs w:val="22"/>
        </w:rPr>
        <w:t>Zangozako Udala</w:t>
      </w:r>
      <w:r w:rsidRPr="0024677D">
        <w:rPr>
          <w:rFonts w:asciiTheme="minorHAnsi" w:hAnsiTheme="minorHAnsi" w:cstheme="minorHAnsi"/>
          <w:sz w:val="22"/>
          <w:szCs w:val="22"/>
        </w:rPr>
        <w:t xml:space="preserve"> a los efectos oportunos.</w:t>
      </w:r>
    </w:p>
    <w:p w14:paraId="49F34416" w14:textId="381E2DFC"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El Ayuntamiento de Sangüesa/</w:t>
      </w:r>
      <w:r w:rsidR="00801A1F">
        <w:rPr>
          <w:rFonts w:asciiTheme="minorHAnsi" w:hAnsiTheme="minorHAnsi" w:cstheme="minorHAnsi"/>
          <w:sz w:val="22"/>
          <w:szCs w:val="22"/>
        </w:rPr>
        <w:t>Zangozako Udala</w:t>
      </w:r>
      <w:r w:rsidRPr="0024677D">
        <w:rPr>
          <w:rFonts w:asciiTheme="minorHAnsi" w:hAnsiTheme="minorHAnsi" w:cstheme="minorHAnsi"/>
          <w:sz w:val="22"/>
          <w:szCs w:val="22"/>
        </w:rPr>
        <w:t xml:space="preserve">, con fecha 14 de junio de 2023 informa que la documentación ha estado publicada nuevamente, al haberse producido pequeños cambios en la </w:t>
      </w:r>
      <w:r w:rsidR="0024677D" w:rsidRPr="0024677D">
        <w:rPr>
          <w:rFonts w:asciiTheme="minorHAnsi" w:hAnsiTheme="minorHAnsi" w:cstheme="minorHAnsi"/>
          <w:sz w:val="22"/>
          <w:szCs w:val="22"/>
        </w:rPr>
        <w:t>memoria</w:t>
      </w:r>
      <w:r w:rsidRPr="0024677D">
        <w:rPr>
          <w:rFonts w:asciiTheme="minorHAnsi" w:hAnsiTheme="minorHAnsi" w:cstheme="minorHAnsi"/>
          <w:sz w:val="22"/>
          <w:szCs w:val="22"/>
        </w:rPr>
        <w:t xml:space="preserve">, desde el día 2 de mayo hasta el 18 de mayo no habiéndose presentado alegaciones en el Registro del Ayuntamiento en dicho plazo. </w:t>
      </w:r>
    </w:p>
    <w:p w14:paraId="1487C980" w14:textId="65A95452"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A partir de dicho momento, y para continuar con el procedimiento, el Reglamento de Montes de Navarra indica que ha de realizarse una valoración técnica del canon actualizable o indemnización que debe abonar </w:t>
      </w:r>
      <w:r w:rsidR="0024677D" w:rsidRPr="0024677D">
        <w:rPr>
          <w:rFonts w:asciiTheme="minorHAnsi" w:hAnsiTheme="minorHAnsi" w:cstheme="minorHAnsi"/>
          <w:sz w:val="22"/>
          <w:szCs w:val="22"/>
        </w:rPr>
        <w:t xml:space="preserve">Geoalcali </w:t>
      </w:r>
      <w:r w:rsidRPr="0024677D">
        <w:rPr>
          <w:rFonts w:asciiTheme="minorHAnsi" w:hAnsiTheme="minorHAnsi" w:cstheme="minorHAnsi"/>
          <w:sz w:val="22"/>
          <w:szCs w:val="22"/>
        </w:rPr>
        <w:t>al titular del monte (Ayuntamiento de Sangüesa/</w:t>
      </w:r>
      <w:r w:rsidR="00801A1F">
        <w:rPr>
          <w:rFonts w:asciiTheme="minorHAnsi" w:hAnsiTheme="minorHAnsi" w:cstheme="minorHAnsi"/>
          <w:sz w:val="22"/>
          <w:szCs w:val="22"/>
        </w:rPr>
        <w:t>Zangozako Udala</w:t>
      </w:r>
      <w:r w:rsidRPr="0024677D">
        <w:rPr>
          <w:rFonts w:asciiTheme="minorHAnsi" w:hAnsiTheme="minorHAnsi" w:cstheme="minorHAnsi"/>
          <w:sz w:val="22"/>
          <w:szCs w:val="22"/>
        </w:rPr>
        <w:t>) por la ocupación de su Monte de Utilidad Pública. El propio Reglamento de Montes, en su artículo 50.4 establece que el canon o indemnización deberá ser acorde a los perjuicios de toda clase que se ocasione al monte o a los beneficios que la servidumbre u ocupación proporcione a su promotor.</w:t>
      </w:r>
    </w:p>
    <w:p w14:paraId="3849EE3F"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lastRenderedPageBreak/>
        <w:t xml:space="preserve">Tomando en consideración que, por las características del monte en cuestión, por un lado, y las de la instalación minera proyectada por otro, existe una diferencia abismal entre el potencial perjuicio al monte y los beneficios potenciales que la ocupación proporcionará al promotor. El Reglamento no indica cuando ha de prevalecer la valoración del perjuicio o cuando la del beneficio proporcionado. </w:t>
      </w:r>
    </w:p>
    <w:p w14:paraId="0745A9F4"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El proceder de la Administración Forestal en estas circunstancias siempre ha sido el de instar al titular del monte a alcanzar un acuerdo en materia de fijación del canon entre promotor y titular del monte. </w:t>
      </w:r>
    </w:p>
    <w:p w14:paraId="1695988F" w14:textId="33DC2A35"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Así, desde junio de 2023 a octubre de 2024, el Ayuntamiento de Sangüesa/</w:t>
      </w:r>
      <w:r w:rsidR="00801A1F">
        <w:rPr>
          <w:rFonts w:asciiTheme="minorHAnsi" w:hAnsiTheme="minorHAnsi" w:cstheme="minorHAnsi"/>
          <w:sz w:val="22"/>
          <w:szCs w:val="22"/>
        </w:rPr>
        <w:t>Zangozako Udala</w:t>
      </w:r>
      <w:r w:rsidRPr="0024677D">
        <w:rPr>
          <w:rFonts w:asciiTheme="minorHAnsi" w:hAnsiTheme="minorHAnsi" w:cstheme="minorHAnsi"/>
          <w:sz w:val="22"/>
          <w:szCs w:val="22"/>
        </w:rPr>
        <w:t xml:space="preserve"> y </w:t>
      </w:r>
      <w:r w:rsidR="0024677D" w:rsidRPr="0024677D">
        <w:rPr>
          <w:rFonts w:asciiTheme="minorHAnsi" w:hAnsiTheme="minorHAnsi" w:cstheme="minorHAnsi"/>
          <w:sz w:val="22"/>
          <w:szCs w:val="22"/>
        </w:rPr>
        <w:t xml:space="preserve">Geoalcali </w:t>
      </w:r>
      <w:r w:rsidRPr="0024677D">
        <w:rPr>
          <w:rFonts w:asciiTheme="minorHAnsi" w:hAnsiTheme="minorHAnsi" w:cstheme="minorHAnsi"/>
          <w:sz w:val="22"/>
          <w:szCs w:val="22"/>
        </w:rPr>
        <w:t xml:space="preserve">mantienen contactos con objeto de llegar a un acuerdo de cara a la fijación del canon y trasladar el contenido de dicho acuerdo a la Administración Forestal para continuar con el procedimiento administrativo de ocupación del Monte de Utilidad Pública, sin que al parecer dicho acuerdo se hubiese producido hasta la fecha. </w:t>
      </w:r>
    </w:p>
    <w:p w14:paraId="040A7228" w14:textId="19C71D43"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De hecho, la propia </w:t>
      </w:r>
      <w:r w:rsidR="0024677D" w:rsidRPr="0024677D">
        <w:rPr>
          <w:rFonts w:asciiTheme="minorHAnsi" w:hAnsiTheme="minorHAnsi" w:cstheme="minorHAnsi"/>
          <w:sz w:val="22"/>
          <w:szCs w:val="22"/>
        </w:rPr>
        <w:t>Geoalcali</w:t>
      </w:r>
      <w:r w:rsidRPr="0024677D">
        <w:rPr>
          <w:rFonts w:asciiTheme="minorHAnsi" w:hAnsiTheme="minorHAnsi" w:cstheme="minorHAnsi"/>
          <w:sz w:val="22"/>
          <w:szCs w:val="22"/>
        </w:rPr>
        <w:t>, en documentación remitida con posterioridad a la Administración Forestal, en concreto en instancia remitida el 2 de mayo de 2025, en la que, entre otras cuestiones se hace un histórico de la situación del proyecto, cita literalmente lo siguiente: “</w:t>
      </w:r>
      <w:r w:rsidRPr="0024677D">
        <w:rPr>
          <w:rFonts w:asciiTheme="minorHAnsi" w:hAnsiTheme="minorHAnsi" w:cstheme="minorHAnsi"/>
          <w:i/>
          <w:sz w:val="22"/>
          <w:szCs w:val="22"/>
        </w:rPr>
        <w:t>Tras el transcurso de meses sin avanzar en esta cuestión, Geoalcali remitió en julio de 2024 (vía email) propuesta sobre la valoración del canon de ocupación y, días después, se celebró reunión entre ambas partes a la que asistieron representantes de la corporación municipal, para discutir esta propuesta en la que se concluyó que se nos respondería en los términos que el Ayuntamiento considerara más adecuados (bien aceptándola o bien proponiendo otra). Sin embargo, nunca se recibió esta respuesta por parte del Ayuntamiento”</w:t>
      </w:r>
      <w:r w:rsidRPr="0024677D">
        <w:rPr>
          <w:rFonts w:asciiTheme="minorHAnsi" w:hAnsiTheme="minorHAnsi" w:cstheme="minorHAnsi"/>
          <w:sz w:val="22"/>
          <w:szCs w:val="22"/>
        </w:rPr>
        <w:t>.</w:t>
      </w:r>
    </w:p>
    <w:p w14:paraId="1FCA1198" w14:textId="7B6CF399"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Con fecha 18 de octubre de 2024, </w:t>
      </w:r>
      <w:r w:rsidR="0024677D" w:rsidRPr="0024677D">
        <w:rPr>
          <w:rFonts w:asciiTheme="minorHAnsi" w:hAnsiTheme="minorHAnsi" w:cstheme="minorHAnsi"/>
          <w:sz w:val="22"/>
          <w:szCs w:val="22"/>
        </w:rPr>
        <w:t>Geoa</w:t>
      </w:r>
      <w:r w:rsidR="0024677D">
        <w:rPr>
          <w:rFonts w:asciiTheme="minorHAnsi" w:hAnsiTheme="minorHAnsi" w:cstheme="minorHAnsi"/>
          <w:sz w:val="22"/>
          <w:szCs w:val="22"/>
        </w:rPr>
        <w:t>l</w:t>
      </w:r>
      <w:r w:rsidR="0024677D" w:rsidRPr="0024677D">
        <w:rPr>
          <w:rFonts w:asciiTheme="minorHAnsi" w:hAnsiTheme="minorHAnsi" w:cstheme="minorHAnsi"/>
          <w:sz w:val="22"/>
          <w:szCs w:val="22"/>
        </w:rPr>
        <w:t xml:space="preserve">cali </w:t>
      </w:r>
      <w:r w:rsidRPr="0024677D">
        <w:rPr>
          <w:rFonts w:asciiTheme="minorHAnsi" w:hAnsiTheme="minorHAnsi" w:cstheme="minorHAnsi"/>
          <w:sz w:val="22"/>
          <w:szCs w:val="22"/>
        </w:rPr>
        <w:t xml:space="preserve">mediante instancia general dirigida a la Sección de Gestión Forestal aporta escrito solicitando se continúe con la tramitación del expediente, aportando escrito interpretativo de cómo, a su juicio, debiera ser calculado dicho canon, entendiendo que el mismo debiera ser calculado </w:t>
      </w:r>
      <w:r w:rsidRPr="0024677D">
        <w:rPr>
          <w:rFonts w:asciiTheme="minorHAnsi" w:hAnsiTheme="minorHAnsi" w:cstheme="minorHAnsi"/>
          <w:i/>
          <w:sz w:val="22"/>
          <w:szCs w:val="22"/>
        </w:rPr>
        <w:t>“conforme al perjuicio que generaría la ocupación, entendida como la limitación de acceso a estas fincas por el resto de personas, o de realización de otros fines previstos en la normativa, el precio que debe tomarse en cuenta para establecer el canon puede ser en base a canon de arrendamiento rústico del año 2023 publicado por Gobierno de Navarra […] o alternativamente, los actos propios del Ayuntamiento en la subasta realizado en el año 2017, en el que fijan un valor para dichos terrenos</w:t>
      </w:r>
      <w:r w:rsidRPr="0024677D">
        <w:rPr>
          <w:rFonts w:asciiTheme="minorHAnsi" w:hAnsiTheme="minorHAnsi" w:cstheme="minorHAnsi"/>
          <w:sz w:val="22"/>
          <w:szCs w:val="22"/>
        </w:rPr>
        <w:t>”.</w:t>
      </w:r>
    </w:p>
    <w:p w14:paraId="2611BC60"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Pocos días después, el Tribunal Superior de Justicia de Navarra anula y deja sin efecto la resolución de la Dirección General de Industria del Gobierno </w:t>
      </w:r>
      <w:r w:rsidR="00D723B6" w:rsidRPr="0024677D">
        <w:rPr>
          <w:rFonts w:asciiTheme="minorHAnsi" w:hAnsiTheme="minorHAnsi" w:cstheme="minorHAnsi"/>
          <w:sz w:val="22"/>
          <w:szCs w:val="22"/>
        </w:rPr>
        <w:t>de Navarra por la que se otorg</w:t>
      </w:r>
      <w:r w:rsidRPr="0024677D">
        <w:rPr>
          <w:rFonts w:asciiTheme="minorHAnsi" w:hAnsiTheme="minorHAnsi" w:cstheme="minorHAnsi"/>
          <w:sz w:val="22"/>
          <w:szCs w:val="22"/>
        </w:rPr>
        <w:t xml:space="preserve">a la concesión de la explotación del permiso “El Goyo”, uno de los tres permisos mineros que conformaban Mina Muga puesto que </w:t>
      </w:r>
      <w:r w:rsidRPr="0024677D">
        <w:rPr>
          <w:rFonts w:asciiTheme="minorHAnsi" w:hAnsiTheme="minorHAnsi" w:cstheme="minorHAnsi"/>
          <w:i/>
          <w:sz w:val="22"/>
          <w:szCs w:val="22"/>
        </w:rPr>
        <w:t>“se ha producido un fraccionamiento del proyecto contrario a derecho</w:t>
      </w:r>
      <w:r w:rsidRPr="0024677D">
        <w:rPr>
          <w:rFonts w:asciiTheme="minorHAnsi" w:hAnsiTheme="minorHAnsi" w:cstheme="minorHAnsi"/>
          <w:sz w:val="22"/>
          <w:szCs w:val="22"/>
        </w:rPr>
        <w:t xml:space="preserve">” al entender que debiera haberse realizado un procedimiento estatal único de tramitación para la concesión de la explotación. </w:t>
      </w:r>
    </w:p>
    <w:p w14:paraId="117485A5"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La Administración Forestal, en base al principio de prudencia en los Actos Administrativos, no avanza en la tramitación administrativa de la ocupación del monte de utilidad pública, en tanto no se resuelva la concesión de la explotación minera con carácter definitivo.</w:t>
      </w:r>
    </w:p>
    <w:p w14:paraId="3E37CB75" w14:textId="72324AEF" w:rsidR="003611F0" w:rsidRPr="0024677D" w:rsidRDefault="00D723B6"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lastRenderedPageBreak/>
        <w:t xml:space="preserve">El 2 de mayo de </w:t>
      </w:r>
      <w:r w:rsidR="003611F0" w:rsidRPr="0024677D">
        <w:rPr>
          <w:rFonts w:asciiTheme="minorHAnsi" w:hAnsiTheme="minorHAnsi" w:cstheme="minorHAnsi"/>
          <w:sz w:val="22"/>
          <w:szCs w:val="22"/>
        </w:rPr>
        <w:t xml:space="preserve">2025, </w:t>
      </w:r>
      <w:r w:rsidR="0024677D" w:rsidRPr="0024677D">
        <w:rPr>
          <w:rFonts w:asciiTheme="minorHAnsi" w:hAnsiTheme="minorHAnsi" w:cstheme="minorHAnsi"/>
          <w:sz w:val="22"/>
          <w:szCs w:val="22"/>
        </w:rPr>
        <w:t xml:space="preserve">Geoalcali </w:t>
      </w:r>
      <w:r w:rsidR="003611F0" w:rsidRPr="0024677D">
        <w:rPr>
          <w:rFonts w:asciiTheme="minorHAnsi" w:hAnsiTheme="minorHAnsi" w:cstheme="minorHAnsi"/>
          <w:sz w:val="22"/>
          <w:szCs w:val="22"/>
        </w:rPr>
        <w:t xml:space="preserve">nuevamente presenta escrito ante la Administración Forestal informando que, </w:t>
      </w:r>
      <w:r w:rsidR="003611F0" w:rsidRPr="0024677D">
        <w:rPr>
          <w:rFonts w:asciiTheme="minorHAnsi" w:hAnsiTheme="minorHAnsi" w:cstheme="minorHAnsi"/>
          <w:i/>
          <w:sz w:val="22"/>
          <w:szCs w:val="22"/>
        </w:rPr>
        <w:t>“habiendo transcurrido más de dos años desde el inicio del expediente sin su resolución, y ante la imposibilidad de alcanzar un acuerdo con el Ayuntamiento de Sangüesa, se pone en conocimiento de esta Sección, que formalmente se han dado por finalizadas las negociaciones con la entidad local, y se insta a que esta Sección de Gestión Forestal resuelva la autorización de forma inmediata en base a los criterios objetivos aportados en octubre de 2024, para la determinación del canon. Se aporta como ANEXO comunicación realizada al Ayuntamiento de Sangüesa con fecha 16 de abril de 2024 en la que se informa de que las negociaciones para la determi</w:t>
      </w:r>
      <w:r w:rsidRPr="0024677D">
        <w:rPr>
          <w:rFonts w:asciiTheme="minorHAnsi" w:hAnsiTheme="minorHAnsi" w:cstheme="minorHAnsi"/>
          <w:i/>
          <w:sz w:val="22"/>
          <w:szCs w:val="22"/>
        </w:rPr>
        <w:t>nación del canon han finalizado</w:t>
      </w:r>
      <w:r w:rsidR="003611F0" w:rsidRPr="0024677D">
        <w:rPr>
          <w:rFonts w:asciiTheme="minorHAnsi" w:hAnsiTheme="minorHAnsi" w:cstheme="minorHAnsi"/>
          <w:i/>
          <w:sz w:val="22"/>
          <w:szCs w:val="22"/>
        </w:rPr>
        <w:t>”</w:t>
      </w:r>
      <w:r w:rsidRPr="0024677D">
        <w:rPr>
          <w:rFonts w:asciiTheme="minorHAnsi" w:hAnsiTheme="minorHAnsi" w:cstheme="minorHAnsi"/>
          <w:i/>
          <w:sz w:val="22"/>
          <w:szCs w:val="22"/>
        </w:rPr>
        <w:t>.</w:t>
      </w:r>
      <w:r w:rsidR="003611F0" w:rsidRPr="0024677D">
        <w:rPr>
          <w:rFonts w:asciiTheme="minorHAnsi" w:hAnsiTheme="minorHAnsi" w:cstheme="minorHAnsi"/>
          <w:sz w:val="22"/>
          <w:szCs w:val="22"/>
        </w:rPr>
        <w:t xml:space="preserve"> Se solicita se resuelva de forma inmediata el expediente de servidumbre y ocupación temporal del MUP en base a los criterios objetivos aportados en octubre de 2024 para el establecimiento del canon. </w:t>
      </w:r>
    </w:p>
    <w:p w14:paraId="7D850A09"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Sin embargo, el Anexo I a dicho escrito, en el que se realiza un histórico de la cronología de la tramitación del monte de utilidad pública, indica </w:t>
      </w:r>
      <w:r w:rsidR="00D723B6" w:rsidRPr="0024677D">
        <w:rPr>
          <w:rFonts w:asciiTheme="minorHAnsi" w:hAnsiTheme="minorHAnsi" w:cstheme="minorHAnsi"/>
          <w:sz w:val="22"/>
          <w:szCs w:val="22"/>
        </w:rPr>
        <w:t xml:space="preserve">que tras la solicitud del 18 de octubre de </w:t>
      </w:r>
      <w:r w:rsidRPr="0024677D">
        <w:rPr>
          <w:rFonts w:asciiTheme="minorHAnsi" w:hAnsiTheme="minorHAnsi" w:cstheme="minorHAnsi"/>
          <w:sz w:val="22"/>
          <w:szCs w:val="22"/>
        </w:rPr>
        <w:t xml:space="preserve">2024 a la Administración Forestal en la que </w:t>
      </w:r>
      <w:r w:rsidRPr="0024677D">
        <w:rPr>
          <w:rFonts w:asciiTheme="minorHAnsi" w:hAnsiTheme="minorHAnsi" w:cstheme="minorHAnsi"/>
          <w:i/>
          <w:sz w:val="22"/>
          <w:szCs w:val="22"/>
        </w:rPr>
        <w:t>“consigue poner en conocimiento la necesidad de que sea la propia Sección la que resuelva el expediente lo antes posible”,</w:t>
      </w:r>
      <w:r w:rsidRPr="0024677D">
        <w:rPr>
          <w:rFonts w:asciiTheme="minorHAnsi" w:hAnsiTheme="minorHAnsi" w:cstheme="minorHAnsi"/>
          <w:sz w:val="22"/>
          <w:szCs w:val="22"/>
        </w:rPr>
        <w:t xml:space="preserve"> </w:t>
      </w:r>
      <w:r w:rsidRPr="0024677D">
        <w:rPr>
          <w:rFonts w:asciiTheme="minorHAnsi" w:hAnsiTheme="minorHAnsi" w:cstheme="minorHAnsi"/>
          <w:i/>
          <w:sz w:val="22"/>
          <w:szCs w:val="22"/>
        </w:rPr>
        <w:t>“el expediente sigue sin resolverse, por lo que aprovechando una solicitud de reunión del Ayuntamiento en febrero de 2025 y, en un último intento de acordar el canon, se vuelve a reiterar que en julio de 2024 fue remitida propuesta y no hubo respuesta. Asimismo, se solicita de nuevo que sea remitida a la empresa una valoración por parte de la entidad local. El Ayuntamiento se compromete de nuevo a responder con fecha límite el 17 de febrero de 2025, sin que a fecha de hoy se haya recibido comunicación alguna a pesar de los varios recordatorios realizados por parte d esta empresa”</w:t>
      </w:r>
      <w:r w:rsidRPr="0024677D">
        <w:rPr>
          <w:rFonts w:asciiTheme="minorHAnsi" w:hAnsiTheme="minorHAnsi" w:cstheme="minorHAnsi"/>
          <w:sz w:val="22"/>
          <w:szCs w:val="22"/>
        </w:rPr>
        <w:t>.</w:t>
      </w:r>
    </w:p>
    <w:p w14:paraId="73DF06DC" w14:textId="77777777"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Cabe deducirse de lo anteriormente expuesto que se da una contradicción al afirmar que </w:t>
      </w:r>
      <w:r w:rsidRPr="0024677D">
        <w:rPr>
          <w:rFonts w:asciiTheme="minorHAnsi" w:hAnsiTheme="minorHAnsi" w:cstheme="minorHAnsi"/>
          <w:i/>
          <w:sz w:val="22"/>
          <w:szCs w:val="22"/>
        </w:rPr>
        <w:t>“con fecha de 16 de abril de 2024, las negociaciones para la determinación del canon han finalizado” cuando en el Anexo al documento se indican que en febrero de 2025 se están produciendo nuevas reuniones “en un último intento de acordar el canon”</w:t>
      </w:r>
      <w:r w:rsidRPr="0024677D">
        <w:rPr>
          <w:rFonts w:asciiTheme="minorHAnsi" w:hAnsiTheme="minorHAnsi" w:cstheme="minorHAnsi"/>
          <w:sz w:val="22"/>
          <w:szCs w:val="22"/>
        </w:rPr>
        <w:t>.</w:t>
      </w:r>
    </w:p>
    <w:p w14:paraId="4E170F0C" w14:textId="3AF684FA" w:rsidR="003611F0" w:rsidRPr="0024677D" w:rsidRDefault="003611F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En base a lo indicado en el punto 13. y tomando en consideración que tanto Ayuntamiento como </w:t>
      </w:r>
      <w:r w:rsidR="0024677D" w:rsidRPr="0024677D">
        <w:rPr>
          <w:rFonts w:asciiTheme="minorHAnsi" w:hAnsiTheme="minorHAnsi" w:cstheme="minorHAnsi"/>
          <w:sz w:val="22"/>
          <w:szCs w:val="22"/>
        </w:rPr>
        <w:t xml:space="preserve">Geoalcali </w:t>
      </w:r>
      <w:r w:rsidRPr="0024677D">
        <w:rPr>
          <w:rFonts w:asciiTheme="minorHAnsi" w:hAnsiTheme="minorHAnsi" w:cstheme="minorHAnsi"/>
          <w:sz w:val="22"/>
          <w:szCs w:val="22"/>
        </w:rPr>
        <w:t>han seguido manteniendo reuniones para acordar el canon en 2024 y 2025, estando la Administración Forestal a la espera de, por un lado, un posible acuerdo entre las partes, y por otro la resolución de la concesión de la explotación minera con carácter definitivo.</w:t>
      </w:r>
    </w:p>
    <w:p w14:paraId="65A91334" w14:textId="3B79F721" w:rsidR="00A02840" w:rsidRPr="0024677D" w:rsidRDefault="00A0284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 xml:space="preserve">Finalmente indicar que, además de lo anteriormente expuesto y con posterioridad, en junio de 2026, el Tribunal Supremo admite a trámite los recursos de casación presentados por el Gobierno de España, los Gobiernos de Navarra y Aragón y por la empresa </w:t>
      </w:r>
      <w:r w:rsidR="0024677D" w:rsidRPr="0024677D">
        <w:rPr>
          <w:rFonts w:asciiTheme="minorHAnsi" w:hAnsiTheme="minorHAnsi" w:cstheme="minorHAnsi"/>
          <w:sz w:val="22"/>
          <w:szCs w:val="22"/>
        </w:rPr>
        <w:t xml:space="preserve">Geoalcali </w:t>
      </w:r>
      <w:r w:rsidRPr="0024677D">
        <w:rPr>
          <w:rFonts w:asciiTheme="minorHAnsi" w:hAnsiTheme="minorHAnsi" w:cstheme="minorHAnsi"/>
          <w:sz w:val="22"/>
          <w:szCs w:val="22"/>
        </w:rPr>
        <w:t xml:space="preserve">contra la sentencia del TSJN relativa a la concesión minera “El Goyo” del proyecto de Mina Muga. De esta forma se está, en este momento en una fase de revisión judicial del procedimiento administrativo seguido en el otorgamiento del permiso de explotación de esta actividad minera que se desarrollaría en varios territorios de la geografía del Estado. </w:t>
      </w:r>
    </w:p>
    <w:p w14:paraId="2252958C" w14:textId="77777777" w:rsidR="006A0077" w:rsidRPr="0024677D" w:rsidRDefault="00A02840"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Así, una vez se concluya con la resolución de la validez de la concesión de la explotación minera, se proseguirá con el procedimiento administrativo de ocupación del monte de utilidad pública.</w:t>
      </w:r>
    </w:p>
    <w:p w14:paraId="1D1ED4B5" w14:textId="184E4DF2" w:rsidR="003611F0" w:rsidRPr="0024677D" w:rsidRDefault="003611F0" w:rsidP="0024677D">
      <w:pPr>
        <w:spacing w:before="120" w:after="120" w:line="276" w:lineRule="auto"/>
        <w:ind w:firstLine="709"/>
        <w:rPr>
          <w:rFonts w:asciiTheme="minorHAnsi" w:hAnsiTheme="minorHAnsi" w:cstheme="minorHAnsi"/>
          <w:b/>
          <w:sz w:val="22"/>
          <w:szCs w:val="22"/>
        </w:rPr>
      </w:pPr>
      <w:r w:rsidRPr="0024677D">
        <w:rPr>
          <w:rFonts w:asciiTheme="minorHAnsi" w:hAnsiTheme="minorHAnsi" w:cstheme="minorHAnsi"/>
          <w:b/>
          <w:sz w:val="22"/>
          <w:szCs w:val="22"/>
        </w:rPr>
        <w:t>4.</w:t>
      </w:r>
      <w:r w:rsidR="0024677D">
        <w:rPr>
          <w:rFonts w:asciiTheme="minorHAnsi" w:hAnsiTheme="minorHAnsi" w:cstheme="minorHAnsi"/>
          <w:b/>
          <w:sz w:val="22"/>
          <w:szCs w:val="22"/>
        </w:rPr>
        <w:t xml:space="preserve"> </w:t>
      </w:r>
      <w:r w:rsidRPr="0024677D">
        <w:rPr>
          <w:rFonts w:asciiTheme="minorHAnsi" w:hAnsiTheme="minorHAnsi" w:cstheme="minorHAnsi"/>
          <w:b/>
          <w:sz w:val="22"/>
          <w:szCs w:val="22"/>
        </w:rPr>
        <w:t>¿Ha de entenderse que esa solicitud ha sido desestimada por silencio administrativo?</w:t>
      </w:r>
    </w:p>
    <w:p w14:paraId="42D2E1DF" w14:textId="0F10FA35" w:rsidR="00D723B6" w:rsidRPr="0024677D" w:rsidRDefault="00D723B6"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lastRenderedPageBreak/>
        <w:t>De conformidad con lo dispuesto en el artículo 24 de la Ley 39/2015, de 1 de octubre, del Procedimiento Administrativo Común de las Administraciones Públicas</w:t>
      </w:r>
      <w:r w:rsidR="0024677D">
        <w:rPr>
          <w:rFonts w:asciiTheme="minorHAnsi" w:hAnsiTheme="minorHAnsi" w:cstheme="minorHAnsi"/>
          <w:sz w:val="22"/>
          <w:szCs w:val="22"/>
        </w:rPr>
        <w:t>,</w:t>
      </w:r>
      <w:r w:rsidRPr="0024677D">
        <w:rPr>
          <w:rFonts w:asciiTheme="minorHAnsi" w:hAnsiTheme="minorHAnsi" w:cstheme="minorHAnsi"/>
          <w:sz w:val="22"/>
          <w:szCs w:val="22"/>
        </w:rPr>
        <w:t xml:space="preserve"> “</w:t>
      </w:r>
      <w:r w:rsidRPr="0024677D">
        <w:rPr>
          <w:rFonts w:asciiTheme="minorHAnsi" w:hAnsiTheme="minorHAnsi" w:cstheme="minorHAnsi"/>
          <w:i/>
          <w:sz w:val="22"/>
          <w:szCs w:val="22"/>
        </w:rPr>
        <w:t>El silencio tendrá efecto desestimatorio en los procedimientos relativos al ejercicio del derecho de petición, a que se refiere el </w:t>
      </w:r>
      <w:hyperlink r:id="rId7" w:anchor="a29" w:tgtFrame="_blank" w:tooltip="Abre nueva ventana" w:history="1">
        <w:r w:rsidRPr="0024677D">
          <w:rPr>
            <w:rFonts w:asciiTheme="minorHAnsi" w:hAnsiTheme="minorHAnsi" w:cstheme="minorHAnsi"/>
            <w:i/>
            <w:sz w:val="22"/>
            <w:szCs w:val="22"/>
          </w:rPr>
          <w:t>artículo 29 de la Constitución</w:t>
        </w:r>
      </w:hyperlink>
      <w:r w:rsidRPr="0024677D">
        <w:rPr>
          <w:rFonts w:asciiTheme="minorHAnsi" w:hAnsiTheme="minorHAnsi" w:cstheme="minorHAnsi"/>
          <w:i/>
          <w:sz w:val="22"/>
          <w:szCs w:val="22"/>
        </w:rPr>
        <w:t>, aquellos cuya estimación tuviera como consecuencia que se transfirieran al solicitante o a terceros facultades relativas al dominio público o al servicio público, impliquen el ejercicio de actividades que puedan dañar el medio ambiente y en los procedimientos de responsabilidad patrimonial de las Administraciones Públicas”</w:t>
      </w:r>
      <w:r w:rsidRPr="0024677D">
        <w:rPr>
          <w:rFonts w:asciiTheme="minorHAnsi" w:hAnsiTheme="minorHAnsi" w:cstheme="minorHAnsi"/>
          <w:sz w:val="22"/>
          <w:szCs w:val="22"/>
        </w:rPr>
        <w:t>.</w:t>
      </w:r>
    </w:p>
    <w:p w14:paraId="5D59D5AC" w14:textId="195B8D10" w:rsidR="00A56CCF" w:rsidRPr="0024677D" w:rsidRDefault="00A56CCF" w:rsidP="0024677D">
      <w:pPr>
        <w:spacing w:before="120" w:after="120" w:line="276" w:lineRule="auto"/>
        <w:ind w:firstLine="709"/>
        <w:rPr>
          <w:rFonts w:asciiTheme="minorHAnsi" w:hAnsiTheme="minorHAnsi" w:cstheme="minorHAnsi"/>
          <w:sz w:val="22"/>
          <w:szCs w:val="22"/>
        </w:rPr>
      </w:pPr>
      <w:r w:rsidRPr="0024677D">
        <w:rPr>
          <w:rFonts w:asciiTheme="minorHAnsi" w:hAnsiTheme="minorHAnsi" w:cstheme="minorHAnsi"/>
          <w:sz w:val="22"/>
          <w:szCs w:val="22"/>
        </w:rPr>
        <w:t>Es cuanto tengo el honor de informar a V.E.</w:t>
      </w:r>
      <w:r w:rsidR="00BF37AF" w:rsidRPr="0024677D">
        <w:rPr>
          <w:rFonts w:asciiTheme="minorHAnsi" w:hAnsiTheme="minorHAnsi" w:cstheme="minorHAnsi"/>
          <w:sz w:val="22"/>
          <w:szCs w:val="22"/>
        </w:rPr>
        <w:t>, en cumplimiento del artículo 215</w:t>
      </w:r>
      <w:r w:rsidRPr="0024677D">
        <w:rPr>
          <w:rFonts w:asciiTheme="minorHAnsi" w:hAnsiTheme="minorHAnsi" w:cstheme="minorHAnsi"/>
          <w:sz w:val="22"/>
          <w:szCs w:val="22"/>
        </w:rPr>
        <w:t xml:space="preserve"> del Reglamento del Parlamento de Navarra</w:t>
      </w:r>
      <w:r w:rsidR="0024677D">
        <w:rPr>
          <w:rFonts w:asciiTheme="minorHAnsi" w:hAnsiTheme="minorHAnsi" w:cstheme="minorHAnsi"/>
          <w:sz w:val="22"/>
          <w:szCs w:val="22"/>
        </w:rPr>
        <w:t>.</w:t>
      </w:r>
    </w:p>
    <w:p w14:paraId="5A67048B" w14:textId="5FC9181D" w:rsidR="00C3450D" w:rsidRPr="0024677D" w:rsidRDefault="00C3450D" w:rsidP="0024677D">
      <w:pPr>
        <w:spacing w:after="120" w:line="276" w:lineRule="auto"/>
        <w:rPr>
          <w:rFonts w:asciiTheme="minorHAnsi" w:hAnsiTheme="minorHAnsi" w:cstheme="minorHAnsi"/>
          <w:color w:val="000000"/>
          <w:sz w:val="22"/>
          <w:szCs w:val="22"/>
        </w:rPr>
      </w:pPr>
      <w:r w:rsidRPr="0024677D">
        <w:rPr>
          <w:rFonts w:asciiTheme="minorHAnsi" w:hAnsiTheme="minorHAnsi" w:cstheme="minorHAnsi"/>
          <w:color w:val="000000"/>
          <w:sz w:val="22"/>
          <w:szCs w:val="22"/>
        </w:rPr>
        <w:t xml:space="preserve">En Pamplona, </w:t>
      </w:r>
      <w:r w:rsidR="0024677D">
        <w:rPr>
          <w:rFonts w:asciiTheme="minorHAnsi" w:hAnsiTheme="minorHAnsi" w:cstheme="minorHAnsi"/>
          <w:color w:val="000000"/>
          <w:sz w:val="22"/>
          <w:szCs w:val="22"/>
        </w:rPr>
        <w:t xml:space="preserve">a </w:t>
      </w:r>
      <w:r w:rsidRPr="0024677D">
        <w:rPr>
          <w:rFonts w:asciiTheme="minorHAnsi" w:hAnsiTheme="minorHAnsi" w:cstheme="minorHAnsi"/>
          <w:color w:val="000000"/>
          <w:sz w:val="22"/>
          <w:szCs w:val="22"/>
        </w:rPr>
        <w:t>1 de junio de 2026</w:t>
      </w:r>
    </w:p>
    <w:p w14:paraId="5307124C" w14:textId="54E797BA" w:rsidR="0083638A" w:rsidRPr="0024677D" w:rsidRDefault="0024677D" w:rsidP="0024677D">
      <w:pPr>
        <w:spacing w:after="120" w:line="276" w:lineRule="auto"/>
        <w:outlineLvl w:val="0"/>
        <w:rPr>
          <w:rFonts w:asciiTheme="minorHAnsi" w:hAnsiTheme="minorHAnsi" w:cstheme="minorHAnsi"/>
          <w:color w:val="000000"/>
          <w:sz w:val="22"/>
          <w:szCs w:val="22"/>
        </w:rPr>
      </w:pPr>
      <w:r w:rsidRPr="0024677D">
        <w:rPr>
          <w:rFonts w:asciiTheme="minorHAnsi" w:hAnsiTheme="minorHAnsi" w:cstheme="minorHAnsi"/>
          <w:sz w:val="22"/>
          <w:szCs w:val="22"/>
        </w:rPr>
        <w:t xml:space="preserve">El Consejero de Desarrollo Rural y Medio Ambiente: </w:t>
      </w:r>
      <w:r w:rsidR="0083638A" w:rsidRPr="0024677D">
        <w:rPr>
          <w:rFonts w:asciiTheme="minorHAnsi" w:hAnsiTheme="minorHAnsi" w:cstheme="minorHAnsi"/>
          <w:color w:val="000000"/>
          <w:sz w:val="22"/>
          <w:szCs w:val="22"/>
        </w:rPr>
        <w:t>José María Aierdi Fernández de Barrena</w:t>
      </w:r>
    </w:p>
    <w:sectPr w:rsidR="0083638A" w:rsidRPr="0024677D" w:rsidSect="0024677D">
      <w:headerReference w:type="default" r:id="rId8"/>
      <w:footerReference w:type="even" r:id="rId9"/>
      <w:footerReference w:type="default" r:id="rId10"/>
      <w:pgSz w:w="11906" w:h="16838" w:code="9"/>
      <w:pgMar w:top="1701" w:right="1701" w:bottom="1418" w:left="1701" w:header="709" w:footer="9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A4B2" w14:textId="77777777" w:rsidR="00163C4D" w:rsidRDefault="00163C4D" w:rsidP="00381BB8">
      <w:pPr>
        <w:pStyle w:val="Encabezado"/>
      </w:pPr>
      <w:r>
        <w:separator/>
      </w:r>
    </w:p>
  </w:endnote>
  <w:endnote w:type="continuationSeparator" w:id="0">
    <w:p w14:paraId="394E2138" w14:textId="77777777" w:rsidR="00163C4D" w:rsidRDefault="00163C4D"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D2D0"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B46A35">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F962" w14:textId="41265698"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3387" w14:textId="77777777" w:rsidR="00163C4D" w:rsidRDefault="00163C4D" w:rsidP="00381BB8">
      <w:pPr>
        <w:pStyle w:val="Encabezado"/>
      </w:pPr>
      <w:r>
        <w:separator/>
      </w:r>
    </w:p>
  </w:footnote>
  <w:footnote w:type="continuationSeparator" w:id="0">
    <w:p w14:paraId="3433F348" w14:textId="77777777" w:rsidR="00163C4D" w:rsidRDefault="00163C4D"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0A1C" w14:textId="4F165D98"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0B50948"/>
    <w:multiLevelType w:val="hybridMultilevel"/>
    <w:tmpl w:val="1D2693E6"/>
    <w:lvl w:ilvl="0" w:tplc="7CE495F8">
      <w:start w:val="1"/>
      <w:numFmt w:val="decimal"/>
      <w:lvlText w:val="%1."/>
      <w:lvlJc w:val="left"/>
      <w:pPr>
        <w:ind w:left="722" w:hanging="360"/>
      </w:pPr>
      <w:rPr>
        <w:rFonts w:hint="default"/>
        <w:i w:val="0"/>
      </w:rPr>
    </w:lvl>
    <w:lvl w:ilvl="1" w:tplc="0C0A0019" w:tentative="1">
      <w:start w:val="1"/>
      <w:numFmt w:val="lowerLetter"/>
      <w:lvlText w:val="%2."/>
      <w:lvlJc w:val="left"/>
      <w:pPr>
        <w:ind w:left="1442" w:hanging="360"/>
      </w:pPr>
    </w:lvl>
    <w:lvl w:ilvl="2" w:tplc="0C0A001B" w:tentative="1">
      <w:start w:val="1"/>
      <w:numFmt w:val="lowerRoman"/>
      <w:lvlText w:val="%3."/>
      <w:lvlJc w:val="right"/>
      <w:pPr>
        <w:ind w:left="2162" w:hanging="180"/>
      </w:pPr>
    </w:lvl>
    <w:lvl w:ilvl="3" w:tplc="0C0A000F" w:tentative="1">
      <w:start w:val="1"/>
      <w:numFmt w:val="decimal"/>
      <w:lvlText w:val="%4."/>
      <w:lvlJc w:val="left"/>
      <w:pPr>
        <w:ind w:left="2882" w:hanging="360"/>
      </w:pPr>
    </w:lvl>
    <w:lvl w:ilvl="4" w:tplc="0C0A0019" w:tentative="1">
      <w:start w:val="1"/>
      <w:numFmt w:val="lowerLetter"/>
      <w:lvlText w:val="%5."/>
      <w:lvlJc w:val="left"/>
      <w:pPr>
        <w:ind w:left="3602" w:hanging="360"/>
      </w:pPr>
    </w:lvl>
    <w:lvl w:ilvl="5" w:tplc="0C0A001B" w:tentative="1">
      <w:start w:val="1"/>
      <w:numFmt w:val="lowerRoman"/>
      <w:lvlText w:val="%6."/>
      <w:lvlJc w:val="right"/>
      <w:pPr>
        <w:ind w:left="4322" w:hanging="180"/>
      </w:pPr>
    </w:lvl>
    <w:lvl w:ilvl="6" w:tplc="0C0A000F" w:tentative="1">
      <w:start w:val="1"/>
      <w:numFmt w:val="decimal"/>
      <w:lvlText w:val="%7."/>
      <w:lvlJc w:val="left"/>
      <w:pPr>
        <w:ind w:left="5042" w:hanging="360"/>
      </w:pPr>
    </w:lvl>
    <w:lvl w:ilvl="7" w:tplc="0C0A0019" w:tentative="1">
      <w:start w:val="1"/>
      <w:numFmt w:val="lowerLetter"/>
      <w:lvlText w:val="%8."/>
      <w:lvlJc w:val="left"/>
      <w:pPr>
        <w:ind w:left="5762" w:hanging="360"/>
      </w:pPr>
    </w:lvl>
    <w:lvl w:ilvl="8" w:tplc="0C0A001B" w:tentative="1">
      <w:start w:val="1"/>
      <w:numFmt w:val="lowerRoman"/>
      <w:lvlText w:val="%9."/>
      <w:lvlJc w:val="right"/>
      <w:pPr>
        <w:ind w:left="6482" w:hanging="18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8"/>
  </w:num>
  <w:num w:numId="4">
    <w:abstractNumId w:val="15"/>
  </w:num>
  <w:num w:numId="5">
    <w:abstractNumId w:val="1"/>
  </w:num>
  <w:num w:numId="6">
    <w:abstractNumId w:val="14"/>
  </w:num>
  <w:num w:numId="7">
    <w:abstractNumId w:val="5"/>
  </w:num>
  <w:num w:numId="8">
    <w:abstractNumId w:val="4"/>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0"/>
  </w:num>
  <w:num w:numId="16">
    <w:abstractNumId w:val="9"/>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35"/>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3C4D"/>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77D"/>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11F0"/>
    <w:rsid w:val="003626DE"/>
    <w:rsid w:val="00362FCE"/>
    <w:rsid w:val="00363E4F"/>
    <w:rsid w:val="00364BA4"/>
    <w:rsid w:val="00365B0F"/>
    <w:rsid w:val="003679C9"/>
    <w:rsid w:val="0037021E"/>
    <w:rsid w:val="0037157B"/>
    <w:rsid w:val="003719B3"/>
    <w:rsid w:val="003722A4"/>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EFF"/>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AF5"/>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077"/>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A1F"/>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840"/>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35"/>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50D"/>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23B6"/>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65A6"/>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5F7A"/>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684ED"/>
  <w15:chartTrackingRefBased/>
  <w15:docId w15:val="{07C3ABFA-AE1A-46A8-8815-7FAB5EEF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paragraph" w:styleId="Ttulo3">
    <w:name w:val="heading 3"/>
    <w:basedOn w:val="Normal"/>
    <w:next w:val="Normal"/>
    <w:link w:val="Ttulo3Car"/>
    <w:semiHidden/>
    <w:unhideWhenUsed/>
    <w:qFormat/>
    <w:rsid w:val="00D723B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semiHidden/>
    <w:rsid w:val="00D723B6"/>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rsid w:val="00D72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75851819">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act.php?id=BOE-A-1978-312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13</TotalTime>
  <Pages>5</Pages>
  <Words>2203</Words>
  <Characters>11618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D167402</dc:creator>
  <cp:keywords/>
  <cp:lastModifiedBy>Fernández Pérez, Beatriz</cp:lastModifiedBy>
  <cp:revision>4</cp:revision>
  <cp:lastPrinted>2018-10-15T10:28:00Z</cp:lastPrinted>
  <dcterms:created xsi:type="dcterms:W3CDTF">2026-06-01T12:39:00Z</dcterms:created>
  <dcterms:modified xsi:type="dcterms:W3CDTF">2026-06-23T06:28:00Z</dcterms:modified>
</cp:coreProperties>
</file>