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873B7F" w:rsidRDefault="00CB70CD" w:rsidP="00207D58">
      <w:pPr>
        <w:pStyle w:val="EstiloPortada"/>
        <w:ind w:left="3840" w:right="-58"/>
        <w:rPr>
          <w:b w:val="0"/>
          <w:color w:val="BFBFBF" w:themeColor="background1" w:themeShade="BF"/>
        </w:rPr>
      </w:pPr>
      <w:r w:rsidRPr="00873B7F">
        <w:rPr>
          <w:b w:val="0"/>
          <w:noProof/>
          <w:color w:val="A6A6A6" w:themeColor="background1" w:themeShade="A6"/>
          <w:lang w:val="es-ES" w:eastAsia="es-ES"/>
        </w:rPr>
        <mc:AlternateContent>
          <mc:Choice Requires="wps">
            <w:drawing>
              <wp:anchor distT="0" distB="0" distL="114300" distR="114300" simplePos="0" relativeHeight="251657728" behindDoc="0" locked="0" layoutInCell="1" allowOverlap="1" wp14:anchorId="115362F7" wp14:editId="47085600">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74D80" w:rsidRPr="002C7026" w:rsidRDefault="00274D80" w:rsidP="002C7026">
                            <w:pPr>
                              <w:spacing w:after="0"/>
                              <w:ind w:firstLine="0"/>
                              <w:jc w:val="center"/>
                              <w:rPr>
                                <w:rFonts w:ascii="Trajan" w:hAnsi="Trajan"/>
                                <w:sz w:val="18"/>
                                <w:szCs w:val="18"/>
                                <w:lang w:val="es-ES"/>
                              </w:rPr>
                            </w:pPr>
                            <w:r w:rsidRPr="002C7026">
                              <w:rPr>
                                <w:rFonts w:ascii="Trajan" w:hAnsi="Trajan"/>
                                <w:sz w:val="18"/>
                                <w:szCs w:val="18"/>
                                <w:lang w:val="es-ES"/>
                              </w:rPr>
                              <w:t>Cámara de</w:t>
                            </w:r>
                          </w:p>
                          <w:p w:rsidR="00274D80" w:rsidRPr="002C7026" w:rsidRDefault="00274D80" w:rsidP="002C7026">
                            <w:pPr>
                              <w:spacing w:after="0"/>
                              <w:ind w:firstLine="0"/>
                              <w:jc w:val="center"/>
                              <w:rPr>
                                <w:rFonts w:ascii="Trajan" w:hAnsi="Trajan"/>
                                <w:sz w:val="18"/>
                                <w:szCs w:val="18"/>
                                <w:lang w:val="es-ES"/>
                              </w:rPr>
                            </w:pPr>
                            <w:r w:rsidRPr="002C7026">
                              <w:rPr>
                                <w:rFonts w:ascii="Trajan" w:hAnsi="Trajan"/>
                                <w:sz w:val="18"/>
                                <w:szCs w:val="18"/>
                                <w:lang w:val="es-ES"/>
                              </w:rPr>
                              <w:t>Comptos</w:t>
                            </w:r>
                          </w:p>
                          <w:p w:rsidR="00274D80" w:rsidRPr="002C7026" w:rsidRDefault="00274D80" w:rsidP="002C7026">
                            <w:pPr>
                              <w:spacing w:after="0"/>
                              <w:ind w:firstLine="0"/>
                              <w:jc w:val="center"/>
                              <w:rPr>
                                <w:rFonts w:ascii="Trajan" w:hAnsi="Trajan"/>
                                <w:sz w:val="18"/>
                                <w:szCs w:val="18"/>
                                <w:lang w:val="es-ES"/>
                              </w:rPr>
                            </w:pPr>
                            <w:r w:rsidRPr="002C7026">
                              <w:rPr>
                                <w:rFonts w:ascii="Trajan" w:hAnsi="Trajan"/>
                                <w:sz w:val="18"/>
                                <w:szCs w:val="18"/>
                                <w:lang w:val="es-ES"/>
                              </w:rPr>
                              <w:t>De Navarra</w:t>
                            </w:r>
                          </w:p>
                          <w:p w:rsidR="00274D80" w:rsidRPr="002C7026" w:rsidRDefault="00274D80"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Nafarroako</w:t>
                            </w:r>
                          </w:p>
                          <w:p w:rsidR="00274D80" w:rsidRPr="002C7026" w:rsidRDefault="00274D80"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kontuen</w:t>
                            </w:r>
                          </w:p>
                          <w:p w:rsidR="00274D80" w:rsidRPr="002C7026" w:rsidRDefault="00274D80"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274D80" w:rsidRPr="002C7026" w:rsidRDefault="00274D80" w:rsidP="002C7026">
                      <w:pPr>
                        <w:spacing w:after="0"/>
                        <w:ind w:firstLine="0"/>
                        <w:jc w:val="center"/>
                        <w:rPr>
                          <w:rFonts w:ascii="Trajan" w:hAnsi="Trajan"/>
                          <w:sz w:val="18"/>
                          <w:szCs w:val="18"/>
                          <w:lang w:val="es-ES"/>
                        </w:rPr>
                      </w:pPr>
                      <w:r w:rsidRPr="002C7026">
                        <w:rPr>
                          <w:rFonts w:ascii="Trajan" w:hAnsi="Trajan"/>
                          <w:sz w:val="18"/>
                          <w:szCs w:val="18"/>
                          <w:lang w:val="es-ES"/>
                        </w:rPr>
                        <w:t>Cámara de</w:t>
                      </w:r>
                    </w:p>
                    <w:p w:rsidR="00274D80" w:rsidRPr="002C7026" w:rsidRDefault="00274D80" w:rsidP="002C7026">
                      <w:pPr>
                        <w:spacing w:after="0"/>
                        <w:ind w:firstLine="0"/>
                        <w:jc w:val="center"/>
                        <w:rPr>
                          <w:rFonts w:ascii="Trajan" w:hAnsi="Trajan"/>
                          <w:sz w:val="18"/>
                          <w:szCs w:val="18"/>
                          <w:lang w:val="es-ES"/>
                        </w:rPr>
                      </w:pPr>
                      <w:r w:rsidRPr="002C7026">
                        <w:rPr>
                          <w:rFonts w:ascii="Trajan" w:hAnsi="Trajan"/>
                          <w:sz w:val="18"/>
                          <w:szCs w:val="18"/>
                          <w:lang w:val="es-ES"/>
                        </w:rPr>
                        <w:t>Comptos</w:t>
                      </w:r>
                    </w:p>
                    <w:p w:rsidR="00274D80" w:rsidRPr="002C7026" w:rsidRDefault="00274D80" w:rsidP="002C7026">
                      <w:pPr>
                        <w:spacing w:after="0"/>
                        <w:ind w:firstLine="0"/>
                        <w:jc w:val="center"/>
                        <w:rPr>
                          <w:rFonts w:ascii="Trajan" w:hAnsi="Trajan"/>
                          <w:sz w:val="18"/>
                          <w:szCs w:val="18"/>
                          <w:lang w:val="es-ES"/>
                        </w:rPr>
                      </w:pPr>
                      <w:r w:rsidRPr="002C7026">
                        <w:rPr>
                          <w:rFonts w:ascii="Trajan" w:hAnsi="Trajan"/>
                          <w:sz w:val="18"/>
                          <w:szCs w:val="18"/>
                          <w:lang w:val="es-ES"/>
                        </w:rPr>
                        <w:t>De Navarra</w:t>
                      </w:r>
                    </w:p>
                    <w:p w:rsidR="00274D80" w:rsidRPr="002C7026" w:rsidRDefault="00274D80"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Nafarroako</w:t>
                      </w:r>
                    </w:p>
                    <w:p w:rsidR="00274D80" w:rsidRPr="002C7026" w:rsidRDefault="00274D80" w:rsidP="002C7026">
                      <w:pPr>
                        <w:spacing w:after="0"/>
                        <w:ind w:firstLine="0"/>
                        <w:jc w:val="center"/>
                        <w:rPr>
                          <w:rFonts w:ascii="Trajan" w:hAnsi="Trajan"/>
                          <w:color w:val="808080"/>
                          <w:sz w:val="18"/>
                          <w:szCs w:val="18"/>
                          <w:lang w:val="es-ES"/>
                        </w:rPr>
                      </w:pPr>
                      <w:r>
                        <w:rPr>
                          <w:rFonts w:ascii="Trajan" w:hAnsi="Trajan"/>
                          <w:color w:val="808080"/>
                          <w:sz w:val="18"/>
                          <w:szCs w:val="18"/>
                          <w:lang w:val="es-ES"/>
                        </w:rPr>
                        <w:t>kontuen</w:t>
                      </w:r>
                    </w:p>
                    <w:p w:rsidR="00274D80" w:rsidRPr="002C7026" w:rsidRDefault="00274D80" w:rsidP="002C7026">
                      <w:pPr>
                        <w:spacing w:after="0"/>
                        <w:ind w:firstLine="0"/>
                        <w:jc w:val="center"/>
                        <w:rPr>
                          <w:rFonts w:ascii="Trajan" w:hAnsi="Trajan"/>
                          <w:color w:val="808080"/>
                          <w:sz w:val="18"/>
                          <w:szCs w:val="18"/>
                          <w:lang w:val="es-ES"/>
                        </w:rPr>
                      </w:pPr>
                      <w:r w:rsidRPr="002C7026">
                        <w:rPr>
                          <w:rFonts w:ascii="Trajan" w:hAnsi="Trajan"/>
                          <w:color w:val="808080"/>
                          <w:sz w:val="18"/>
                          <w:szCs w:val="18"/>
                          <w:lang w:val="es-ES"/>
                        </w:rPr>
                        <w:t>ganbera</w:t>
                      </w:r>
                    </w:p>
                  </w:txbxContent>
                </v:textbox>
              </v:shape>
            </w:pict>
          </mc:Fallback>
        </mc:AlternateContent>
      </w:r>
    </w:p>
    <w:p w:rsidR="001C3A32" w:rsidRPr="003C4D81" w:rsidRDefault="001C3A32" w:rsidP="00891D73">
      <w:pPr>
        <w:pStyle w:val="texto"/>
        <w:rPr>
          <w:rFonts w:ascii="Arial" w:hAnsi="Arial" w:cs="Arial"/>
          <w:b/>
          <w:sz w:val="36"/>
          <w:szCs w:val="36"/>
        </w:rPr>
      </w:pPr>
    </w:p>
    <w:p w:rsidR="006256FE" w:rsidRDefault="00A63248" w:rsidP="006256FE">
      <w:pPr>
        <w:pStyle w:val="EstiloPortada"/>
        <w:spacing w:before="0"/>
        <w:ind w:left="2694" w:right="-425"/>
        <w:jc w:val="right"/>
        <w:rPr>
          <w:sz w:val="48"/>
          <w:szCs w:val="48"/>
        </w:rPr>
      </w:pPr>
      <w:r>
        <w:rPr>
          <w:sz w:val="48"/>
          <w:szCs w:val="48"/>
        </w:rPr>
        <w:t xml:space="preserve">Deudas </w:t>
      </w:r>
      <w:r w:rsidR="00BB7F16">
        <w:rPr>
          <w:sz w:val="48"/>
          <w:szCs w:val="48"/>
        </w:rPr>
        <w:t>tributarias</w:t>
      </w:r>
    </w:p>
    <w:p w:rsidR="00BB7F16" w:rsidRPr="00BB29A4" w:rsidRDefault="00E948E0" w:rsidP="006256FE">
      <w:pPr>
        <w:pStyle w:val="EstiloPortada"/>
        <w:spacing w:before="0"/>
        <w:ind w:left="2694" w:right="-425"/>
        <w:jc w:val="right"/>
        <w:rPr>
          <w:sz w:val="48"/>
          <w:szCs w:val="48"/>
        </w:rPr>
      </w:pPr>
      <w:r>
        <w:rPr>
          <w:sz w:val="48"/>
          <w:szCs w:val="48"/>
        </w:rPr>
        <w:t>P</w:t>
      </w:r>
      <w:r w:rsidR="00A63248">
        <w:rPr>
          <w:sz w:val="48"/>
          <w:szCs w:val="48"/>
        </w:rPr>
        <w:t>rescritas</w:t>
      </w:r>
      <w:r w:rsidR="006256FE">
        <w:rPr>
          <w:sz w:val="48"/>
          <w:szCs w:val="48"/>
        </w:rPr>
        <w:t xml:space="preserve"> </w:t>
      </w:r>
      <w:r w:rsidR="00BB7F16">
        <w:rPr>
          <w:sz w:val="48"/>
          <w:szCs w:val="48"/>
        </w:rPr>
        <w:t>(2008</w:t>
      </w:r>
      <w:r w:rsidR="0084333D">
        <w:rPr>
          <w:sz w:val="48"/>
          <w:szCs w:val="48"/>
        </w:rPr>
        <w:t xml:space="preserve"> a </w:t>
      </w:r>
      <w:r w:rsidR="00BB7F16">
        <w:rPr>
          <w:sz w:val="48"/>
          <w:szCs w:val="48"/>
        </w:rPr>
        <w:t>2015)</w:t>
      </w:r>
    </w:p>
    <w:p w:rsidR="001C3A32" w:rsidRDefault="001C3A32" w:rsidP="00BB29A4">
      <w:pPr>
        <w:pStyle w:val="texto"/>
        <w:ind w:left="1843" w:right="-142"/>
      </w:pPr>
    </w:p>
    <w:p w:rsidR="00FE4963" w:rsidRDefault="00FE4963" w:rsidP="00891D73">
      <w:pPr>
        <w:pStyle w:val="texto"/>
      </w:pPr>
    </w:p>
    <w:p w:rsidR="00FE4963" w:rsidRPr="00204979" w:rsidRDefault="00FE4963"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BB29A4" w:rsidRDefault="00BB29A4" w:rsidP="00891D73">
      <w:pPr>
        <w:pStyle w:val="texto"/>
      </w:pPr>
    </w:p>
    <w:p w:rsidR="00BB29A4" w:rsidRDefault="00BB29A4" w:rsidP="00891D73">
      <w:pPr>
        <w:pStyle w:val="texto"/>
      </w:pPr>
    </w:p>
    <w:p w:rsidR="00BB29A4" w:rsidRDefault="00BB29A4" w:rsidP="00891D73">
      <w:pPr>
        <w:pStyle w:val="texto"/>
      </w:pPr>
    </w:p>
    <w:p w:rsidR="00BB29A4" w:rsidRDefault="00BB29A4" w:rsidP="00891D73">
      <w:pPr>
        <w:pStyle w:val="texto"/>
      </w:pPr>
    </w:p>
    <w:p w:rsidR="00BB29A4" w:rsidRPr="00204979" w:rsidRDefault="00BB29A4" w:rsidP="00891D73">
      <w:pPr>
        <w:pStyle w:val="texto"/>
      </w:pPr>
    </w:p>
    <w:p w:rsidR="00873B7F" w:rsidRDefault="00873B7F" w:rsidP="00764B5C">
      <w:pPr>
        <w:pStyle w:val="texto"/>
        <w:ind w:firstLine="0"/>
      </w:pPr>
    </w:p>
    <w:p w:rsidR="00873B7F" w:rsidRPr="00204979" w:rsidRDefault="00873B7F" w:rsidP="00891D73">
      <w:pPr>
        <w:pStyle w:val="texto"/>
      </w:pPr>
    </w:p>
    <w:p w:rsidR="00716463" w:rsidRPr="00B52998" w:rsidRDefault="00257CB2" w:rsidP="009936FC">
      <w:pPr>
        <w:pStyle w:val="Fechaportada"/>
      </w:pPr>
      <w:r>
        <w:t>Noviembre</w:t>
      </w:r>
      <w:r w:rsidR="004B15C9">
        <w:t>,</w:t>
      </w:r>
      <w:r w:rsidR="00407EAE">
        <w:t xml:space="preserve"> </w:t>
      </w:r>
      <w:r w:rsidR="008656F3">
        <w:t>2016</w:t>
      </w:r>
    </w:p>
    <w:p w:rsidR="008E3FFE" w:rsidRPr="00B52998" w:rsidRDefault="008E3FFE" w:rsidP="00891D73">
      <w:pPr>
        <w:pStyle w:val="ndice"/>
        <w:rPr>
          <w:rFonts w:ascii="Times New Roman" w:hAnsi="Times New Roman"/>
          <w:color w:val="auto"/>
        </w:rPr>
        <w:sectPr w:rsidR="008E3FFE" w:rsidRPr="00B52998" w:rsidSect="00482F67">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14728F" w:rsidRPr="004950CC" w:rsidRDefault="004950CC" w:rsidP="001841D5">
      <w:pPr>
        <w:pStyle w:val="texto"/>
        <w:ind w:right="-211"/>
        <w:jc w:val="right"/>
        <w:rPr>
          <w:smallCaps/>
          <w:sz w:val="20"/>
          <w:szCs w:val="20"/>
        </w:rPr>
      </w:pPr>
      <w:r>
        <w:tab/>
      </w:r>
      <w:r>
        <w:tab/>
      </w:r>
      <w:r>
        <w:tab/>
      </w:r>
      <w:r>
        <w:tab/>
      </w:r>
      <w:r>
        <w:tab/>
      </w:r>
      <w:r>
        <w:rPr>
          <w:smallCaps/>
          <w:sz w:val="20"/>
          <w:szCs w:val="20"/>
        </w:rPr>
        <w:t>página</w:t>
      </w:r>
    </w:p>
    <w:p w:rsidR="00FC0F0F" w:rsidRDefault="00F81F03">
      <w:pPr>
        <w:pStyle w:val="TDC1"/>
        <w:rPr>
          <w:noProof/>
        </w:rPr>
      </w:pPr>
      <w:r>
        <w:t xml:space="preserve"> </w:t>
      </w:r>
      <w:r w:rsidR="00882BEB">
        <w:fldChar w:fldCharType="begin"/>
      </w:r>
      <w:r w:rsidR="00882BEB">
        <w:instrText xml:space="preserve"> TOC \o "1-3" \h \z \t "atitulo1;1;atitulo2;2" </w:instrText>
      </w:r>
      <w:r w:rsidR="00882BEB">
        <w:fldChar w:fldCharType="separate"/>
      </w:r>
    </w:p>
    <w:p w:rsidR="00FC0F0F" w:rsidRDefault="00864979">
      <w:pPr>
        <w:pStyle w:val="TDC1"/>
        <w:rPr>
          <w:rFonts w:asciiTheme="minorHAnsi" w:eastAsiaTheme="minorEastAsia" w:hAnsiTheme="minorHAnsi" w:cstheme="minorBidi"/>
          <w:smallCaps w:val="0"/>
          <w:noProof/>
          <w:szCs w:val="22"/>
          <w:lang w:val="es-ES" w:eastAsia="es-ES"/>
        </w:rPr>
      </w:pPr>
      <w:hyperlink w:anchor="_Toc465150099" w:history="1">
        <w:r w:rsidR="00FC0F0F" w:rsidRPr="00F73BD6">
          <w:rPr>
            <w:rStyle w:val="Hipervnculo"/>
            <w:noProof/>
          </w:rPr>
          <w:t>I. Introducción</w:t>
        </w:r>
        <w:r w:rsidR="00FC0F0F">
          <w:rPr>
            <w:noProof/>
            <w:webHidden/>
          </w:rPr>
          <w:tab/>
        </w:r>
        <w:r w:rsidR="00FC0F0F">
          <w:rPr>
            <w:noProof/>
            <w:webHidden/>
          </w:rPr>
          <w:fldChar w:fldCharType="begin"/>
        </w:r>
        <w:r w:rsidR="00FC0F0F">
          <w:rPr>
            <w:noProof/>
            <w:webHidden/>
          </w:rPr>
          <w:instrText xml:space="preserve"> PAGEREF _Toc465150099 \h </w:instrText>
        </w:r>
        <w:r w:rsidR="00FC0F0F">
          <w:rPr>
            <w:noProof/>
            <w:webHidden/>
          </w:rPr>
        </w:r>
        <w:r w:rsidR="00FC0F0F">
          <w:rPr>
            <w:noProof/>
            <w:webHidden/>
          </w:rPr>
          <w:fldChar w:fldCharType="separate"/>
        </w:r>
        <w:r w:rsidR="004416C4">
          <w:rPr>
            <w:noProof/>
            <w:webHidden/>
          </w:rPr>
          <w:t>3</w:t>
        </w:r>
        <w:r w:rsidR="00FC0F0F">
          <w:rPr>
            <w:noProof/>
            <w:webHidden/>
          </w:rPr>
          <w:fldChar w:fldCharType="end"/>
        </w:r>
      </w:hyperlink>
    </w:p>
    <w:p w:rsidR="00FC0F0F" w:rsidRDefault="00864979">
      <w:pPr>
        <w:pStyle w:val="TDC1"/>
        <w:rPr>
          <w:rFonts w:asciiTheme="minorHAnsi" w:eastAsiaTheme="minorEastAsia" w:hAnsiTheme="minorHAnsi" w:cstheme="minorBidi"/>
          <w:smallCaps w:val="0"/>
          <w:noProof/>
          <w:szCs w:val="22"/>
          <w:lang w:val="es-ES" w:eastAsia="es-ES"/>
        </w:rPr>
      </w:pPr>
      <w:hyperlink w:anchor="_Toc465150100" w:history="1">
        <w:r w:rsidR="00FC0F0F" w:rsidRPr="00F73BD6">
          <w:rPr>
            <w:rStyle w:val="Hipervnculo"/>
            <w:noProof/>
          </w:rPr>
          <w:t>II. Objetivo y alcance</w:t>
        </w:r>
        <w:r w:rsidR="00FC0F0F">
          <w:rPr>
            <w:noProof/>
            <w:webHidden/>
          </w:rPr>
          <w:tab/>
        </w:r>
        <w:r w:rsidR="00FC0F0F">
          <w:rPr>
            <w:noProof/>
            <w:webHidden/>
          </w:rPr>
          <w:fldChar w:fldCharType="begin"/>
        </w:r>
        <w:r w:rsidR="00FC0F0F">
          <w:rPr>
            <w:noProof/>
            <w:webHidden/>
          </w:rPr>
          <w:instrText xml:space="preserve"> PAGEREF _Toc465150100 \h </w:instrText>
        </w:r>
        <w:r w:rsidR="00FC0F0F">
          <w:rPr>
            <w:noProof/>
            <w:webHidden/>
          </w:rPr>
        </w:r>
        <w:r w:rsidR="00FC0F0F">
          <w:rPr>
            <w:noProof/>
            <w:webHidden/>
          </w:rPr>
          <w:fldChar w:fldCharType="separate"/>
        </w:r>
        <w:r w:rsidR="004416C4">
          <w:rPr>
            <w:noProof/>
            <w:webHidden/>
          </w:rPr>
          <w:t>4</w:t>
        </w:r>
        <w:r w:rsidR="00FC0F0F">
          <w:rPr>
            <w:noProof/>
            <w:webHidden/>
          </w:rPr>
          <w:fldChar w:fldCharType="end"/>
        </w:r>
      </w:hyperlink>
    </w:p>
    <w:p w:rsidR="00FC0F0F" w:rsidRDefault="00864979">
      <w:pPr>
        <w:pStyle w:val="TDC1"/>
        <w:rPr>
          <w:rFonts w:asciiTheme="minorHAnsi" w:eastAsiaTheme="minorEastAsia" w:hAnsiTheme="minorHAnsi" w:cstheme="minorBidi"/>
          <w:smallCaps w:val="0"/>
          <w:noProof/>
          <w:szCs w:val="22"/>
          <w:lang w:val="es-ES" w:eastAsia="es-ES"/>
        </w:rPr>
      </w:pPr>
      <w:hyperlink w:anchor="_Toc465150101" w:history="1">
        <w:r w:rsidR="00FC0F0F" w:rsidRPr="00F73BD6">
          <w:rPr>
            <w:rStyle w:val="Hipervnculo"/>
            <w:noProof/>
          </w:rPr>
          <w:t>III. Notas generales sobre la prescripción e insolvencia</w:t>
        </w:r>
        <w:r w:rsidR="00FC0F0F">
          <w:rPr>
            <w:noProof/>
            <w:webHidden/>
          </w:rPr>
          <w:tab/>
        </w:r>
        <w:r w:rsidR="00FC0F0F">
          <w:rPr>
            <w:noProof/>
            <w:webHidden/>
          </w:rPr>
          <w:fldChar w:fldCharType="begin"/>
        </w:r>
        <w:r w:rsidR="00FC0F0F">
          <w:rPr>
            <w:noProof/>
            <w:webHidden/>
          </w:rPr>
          <w:instrText xml:space="preserve"> PAGEREF _Toc465150101 \h </w:instrText>
        </w:r>
        <w:r w:rsidR="00FC0F0F">
          <w:rPr>
            <w:noProof/>
            <w:webHidden/>
          </w:rPr>
        </w:r>
        <w:r w:rsidR="00FC0F0F">
          <w:rPr>
            <w:noProof/>
            <w:webHidden/>
          </w:rPr>
          <w:fldChar w:fldCharType="separate"/>
        </w:r>
        <w:r w:rsidR="004416C4">
          <w:rPr>
            <w:noProof/>
            <w:webHidden/>
          </w:rPr>
          <w:t>5</w:t>
        </w:r>
        <w:r w:rsidR="00FC0F0F">
          <w:rPr>
            <w:noProof/>
            <w:webHidden/>
          </w:rPr>
          <w:fldChar w:fldCharType="end"/>
        </w:r>
      </w:hyperlink>
    </w:p>
    <w:p w:rsidR="00FC0F0F" w:rsidRDefault="00864979">
      <w:pPr>
        <w:pStyle w:val="TDC1"/>
        <w:rPr>
          <w:rFonts w:asciiTheme="minorHAnsi" w:eastAsiaTheme="minorEastAsia" w:hAnsiTheme="minorHAnsi" w:cstheme="minorBidi"/>
          <w:smallCaps w:val="0"/>
          <w:noProof/>
          <w:szCs w:val="22"/>
          <w:lang w:val="es-ES" w:eastAsia="es-ES"/>
        </w:rPr>
      </w:pPr>
      <w:hyperlink w:anchor="_Toc465150102" w:history="1">
        <w:r w:rsidR="00FC0F0F" w:rsidRPr="00F73BD6">
          <w:rPr>
            <w:rStyle w:val="Hipervnculo"/>
            <w:noProof/>
          </w:rPr>
          <w:t>IV. Cuantificación de las deudas prescritas entre 2008 y 2015 y Opinión de cumplimiento de legalidad</w:t>
        </w:r>
        <w:r w:rsidR="00FC0F0F">
          <w:rPr>
            <w:noProof/>
            <w:webHidden/>
          </w:rPr>
          <w:tab/>
        </w:r>
        <w:r w:rsidR="00FC0F0F">
          <w:rPr>
            <w:noProof/>
            <w:webHidden/>
          </w:rPr>
          <w:fldChar w:fldCharType="begin"/>
        </w:r>
        <w:r w:rsidR="00FC0F0F">
          <w:rPr>
            <w:noProof/>
            <w:webHidden/>
          </w:rPr>
          <w:instrText xml:space="preserve"> PAGEREF _Toc465150102 \h </w:instrText>
        </w:r>
        <w:r w:rsidR="00FC0F0F">
          <w:rPr>
            <w:noProof/>
            <w:webHidden/>
          </w:rPr>
        </w:r>
        <w:r w:rsidR="00FC0F0F">
          <w:rPr>
            <w:noProof/>
            <w:webHidden/>
          </w:rPr>
          <w:fldChar w:fldCharType="separate"/>
        </w:r>
        <w:r w:rsidR="004416C4">
          <w:rPr>
            <w:noProof/>
            <w:webHidden/>
          </w:rPr>
          <w:t>15</w:t>
        </w:r>
        <w:r w:rsidR="00FC0F0F">
          <w:rPr>
            <w:noProof/>
            <w:webHidden/>
          </w:rPr>
          <w:fldChar w:fldCharType="end"/>
        </w:r>
      </w:hyperlink>
    </w:p>
    <w:p w:rsidR="00FC0F0F" w:rsidRDefault="00864979">
      <w:pPr>
        <w:pStyle w:val="TDC2"/>
        <w:rPr>
          <w:rFonts w:asciiTheme="minorHAnsi" w:eastAsiaTheme="minorEastAsia" w:hAnsiTheme="minorHAnsi" w:cstheme="minorBidi"/>
          <w:noProof/>
          <w:szCs w:val="22"/>
          <w:lang w:val="es-ES" w:eastAsia="es-ES"/>
        </w:rPr>
      </w:pPr>
      <w:hyperlink w:anchor="_Toc465150103" w:history="1">
        <w:r w:rsidR="00FC0F0F" w:rsidRPr="00F73BD6">
          <w:rPr>
            <w:rStyle w:val="Hipervnculo"/>
            <w:noProof/>
          </w:rPr>
          <w:t>IV.1. Deuda prescrita en el periodo de 2008 a 2015</w:t>
        </w:r>
        <w:r w:rsidR="00FC0F0F">
          <w:rPr>
            <w:noProof/>
            <w:webHidden/>
          </w:rPr>
          <w:tab/>
        </w:r>
        <w:r w:rsidR="00FC0F0F">
          <w:rPr>
            <w:noProof/>
            <w:webHidden/>
          </w:rPr>
          <w:fldChar w:fldCharType="begin"/>
        </w:r>
        <w:r w:rsidR="00FC0F0F">
          <w:rPr>
            <w:noProof/>
            <w:webHidden/>
          </w:rPr>
          <w:instrText xml:space="preserve"> PAGEREF _Toc465150103 \h </w:instrText>
        </w:r>
        <w:r w:rsidR="00FC0F0F">
          <w:rPr>
            <w:noProof/>
            <w:webHidden/>
          </w:rPr>
        </w:r>
        <w:r w:rsidR="00FC0F0F">
          <w:rPr>
            <w:noProof/>
            <w:webHidden/>
          </w:rPr>
          <w:fldChar w:fldCharType="separate"/>
        </w:r>
        <w:r w:rsidR="004416C4">
          <w:rPr>
            <w:noProof/>
            <w:webHidden/>
          </w:rPr>
          <w:t>15</w:t>
        </w:r>
        <w:r w:rsidR="00FC0F0F">
          <w:rPr>
            <w:noProof/>
            <w:webHidden/>
          </w:rPr>
          <w:fldChar w:fldCharType="end"/>
        </w:r>
      </w:hyperlink>
    </w:p>
    <w:p w:rsidR="00FC0F0F" w:rsidRDefault="00864979">
      <w:pPr>
        <w:pStyle w:val="TDC2"/>
        <w:rPr>
          <w:rFonts w:asciiTheme="minorHAnsi" w:eastAsiaTheme="minorEastAsia" w:hAnsiTheme="minorHAnsi" w:cstheme="minorBidi"/>
          <w:noProof/>
          <w:szCs w:val="22"/>
          <w:lang w:val="es-ES" w:eastAsia="es-ES"/>
        </w:rPr>
      </w:pPr>
      <w:hyperlink w:anchor="_Toc465150104" w:history="1">
        <w:r w:rsidR="00FC0F0F" w:rsidRPr="00F73BD6">
          <w:rPr>
            <w:rStyle w:val="Hipervnculo"/>
            <w:noProof/>
          </w:rPr>
          <w:t>IV.2. Opinión de cumplimiento de legalidad</w:t>
        </w:r>
        <w:r w:rsidR="00FC0F0F">
          <w:rPr>
            <w:noProof/>
            <w:webHidden/>
          </w:rPr>
          <w:tab/>
        </w:r>
        <w:r w:rsidR="00FC0F0F">
          <w:rPr>
            <w:noProof/>
            <w:webHidden/>
          </w:rPr>
          <w:fldChar w:fldCharType="begin"/>
        </w:r>
        <w:r w:rsidR="00FC0F0F">
          <w:rPr>
            <w:noProof/>
            <w:webHidden/>
          </w:rPr>
          <w:instrText xml:space="preserve"> PAGEREF _Toc465150104 \h </w:instrText>
        </w:r>
        <w:r w:rsidR="00FC0F0F">
          <w:rPr>
            <w:noProof/>
            <w:webHidden/>
          </w:rPr>
        </w:r>
        <w:r w:rsidR="00FC0F0F">
          <w:rPr>
            <w:noProof/>
            <w:webHidden/>
          </w:rPr>
          <w:fldChar w:fldCharType="separate"/>
        </w:r>
        <w:r w:rsidR="004416C4">
          <w:rPr>
            <w:noProof/>
            <w:webHidden/>
          </w:rPr>
          <w:t>19</w:t>
        </w:r>
        <w:r w:rsidR="00FC0F0F">
          <w:rPr>
            <w:noProof/>
            <w:webHidden/>
          </w:rPr>
          <w:fldChar w:fldCharType="end"/>
        </w:r>
      </w:hyperlink>
    </w:p>
    <w:p w:rsidR="00FC0F0F" w:rsidRDefault="00864979">
      <w:pPr>
        <w:pStyle w:val="TDC1"/>
        <w:rPr>
          <w:rFonts w:asciiTheme="minorHAnsi" w:eastAsiaTheme="minorEastAsia" w:hAnsiTheme="minorHAnsi" w:cstheme="minorBidi"/>
          <w:smallCaps w:val="0"/>
          <w:noProof/>
          <w:szCs w:val="22"/>
          <w:lang w:val="es-ES" w:eastAsia="es-ES"/>
        </w:rPr>
      </w:pPr>
      <w:hyperlink w:anchor="_Toc465150105" w:history="1">
        <w:r w:rsidR="00FC0F0F" w:rsidRPr="00F73BD6">
          <w:rPr>
            <w:rStyle w:val="Hipervnculo"/>
            <w:noProof/>
          </w:rPr>
          <w:t>V. Observaciones que no afectan a la opinión emitida y recomendaciones</w:t>
        </w:r>
        <w:r w:rsidR="00FC0F0F">
          <w:rPr>
            <w:noProof/>
            <w:webHidden/>
          </w:rPr>
          <w:tab/>
        </w:r>
        <w:r w:rsidR="00FC0F0F">
          <w:rPr>
            <w:noProof/>
            <w:webHidden/>
          </w:rPr>
          <w:fldChar w:fldCharType="begin"/>
        </w:r>
        <w:r w:rsidR="00FC0F0F">
          <w:rPr>
            <w:noProof/>
            <w:webHidden/>
          </w:rPr>
          <w:instrText xml:space="preserve"> PAGEREF _Toc465150105 \h </w:instrText>
        </w:r>
        <w:r w:rsidR="00FC0F0F">
          <w:rPr>
            <w:noProof/>
            <w:webHidden/>
          </w:rPr>
        </w:r>
        <w:r w:rsidR="00FC0F0F">
          <w:rPr>
            <w:noProof/>
            <w:webHidden/>
          </w:rPr>
          <w:fldChar w:fldCharType="separate"/>
        </w:r>
        <w:r w:rsidR="004416C4">
          <w:rPr>
            <w:noProof/>
            <w:webHidden/>
          </w:rPr>
          <w:t>20</w:t>
        </w:r>
        <w:r w:rsidR="00FC0F0F">
          <w:rPr>
            <w:noProof/>
            <w:webHidden/>
          </w:rPr>
          <w:fldChar w:fldCharType="end"/>
        </w:r>
      </w:hyperlink>
    </w:p>
    <w:p w:rsidR="00FC0F0F" w:rsidRDefault="00864979">
      <w:pPr>
        <w:pStyle w:val="TDC2"/>
        <w:rPr>
          <w:rFonts w:asciiTheme="minorHAnsi" w:eastAsiaTheme="minorEastAsia" w:hAnsiTheme="minorHAnsi" w:cstheme="minorBidi"/>
          <w:noProof/>
          <w:szCs w:val="22"/>
          <w:lang w:val="es-ES" w:eastAsia="es-ES"/>
        </w:rPr>
      </w:pPr>
      <w:hyperlink w:anchor="_Toc465150106" w:history="1">
        <w:r w:rsidR="00FC0F0F" w:rsidRPr="00F73BD6">
          <w:rPr>
            <w:rStyle w:val="Hipervnculo"/>
            <w:noProof/>
          </w:rPr>
          <w:t>V.1. Observaciones que no afectan a la opinión de cumplimiento</w:t>
        </w:r>
        <w:r w:rsidR="00FC0F0F">
          <w:rPr>
            <w:noProof/>
            <w:webHidden/>
          </w:rPr>
          <w:tab/>
        </w:r>
        <w:r w:rsidR="00FC0F0F">
          <w:rPr>
            <w:noProof/>
            <w:webHidden/>
          </w:rPr>
          <w:fldChar w:fldCharType="begin"/>
        </w:r>
        <w:r w:rsidR="00FC0F0F">
          <w:rPr>
            <w:noProof/>
            <w:webHidden/>
          </w:rPr>
          <w:instrText xml:space="preserve"> PAGEREF _Toc465150106 \h </w:instrText>
        </w:r>
        <w:r w:rsidR="00FC0F0F">
          <w:rPr>
            <w:noProof/>
            <w:webHidden/>
          </w:rPr>
        </w:r>
        <w:r w:rsidR="00FC0F0F">
          <w:rPr>
            <w:noProof/>
            <w:webHidden/>
          </w:rPr>
          <w:fldChar w:fldCharType="separate"/>
        </w:r>
        <w:r w:rsidR="004416C4">
          <w:rPr>
            <w:noProof/>
            <w:webHidden/>
          </w:rPr>
          <w:t>20</w:t>
        </w:r>
        <w:r w:rsidR="00FC0F0F">
          <w:rPr>
            <w:noProof/>
            <w:webHidden/>
          </w:rPr>
          <w:fldChar w:fldCharType="end"/>
        </w:r>
      </w:hyperlink>
    </w:p>
    <w:p w:rsidR="00FC0F0F" w:rsidRDefault="00864979">
      <w:pPr>
        <w:pStyle w:val="TDC2"/>
        <w:rPr>
          <w:rFonts w:asciiTheme="minorHAnsi" w:eastAsiaTheme="minorEastAsia" w:hAnsiTheme="minorHAnsi" w:cstheme="minorBidi"/>
          <w:noProof/>
          <w:szCs w:val="22"/>
          <w:lang w:val="es-ES" w:eastAsia="es-ES"/>
        </w:rPr>
      </w:pPr>
      <w:hyperlink w:anchor="_Toc465150107" w:history="1">
        <w:r w:rsidR="00FC0F0F" w:rsidRPr="00F73BD6">
          <w:rPr>
            <w:rStyle w:val="Hipervnculo"/>
            <w:noProof/>
          </w:rPr>
          <w:t>V.2. Recomendaciones</w:t>
        </w:r>
        <w:r w:rsidR="00FC0F0F">
          <w:rPr>
            <w:noProof/>
            <w:webHidden/>
          </w:rPr>
          <w:tab/>
        </w:r>
        <w:r w:rsidR="00FC0F0F">
          <w:rPr>
            <w:noProof/>
            <w:webHidden/>
          </w:rPr>
          <w:fldChar w:fldCharType="begin"/>
        </w:r>
        <w:r w:rsidR="00FC0F0F">
          <w:rPr>
            <w:noProof/>
            <w:webHidden/>
          </w:rPr>
          <w:instrText xml:space="preserve"> PAGEREF _Toc465150107 \h </w:instrText>
        </w:r>
        <w:r w:rsidR="00FC0F0F">
          <w:rPr>
            <w:noProof/>
            <w:webHidden/>
          </w:rPr>
        </w:r>
        <w:r w:rsidR="00FC0F0F">
          <w:rPr>
            <w:noProof/>
            <w:webHidden/>
          </w:rPr>
          <w:fldChar w:fldCharType="separate"/>
        </w:r>
        <w:r w:rsidR="004416C4">
          <w:rPr>
            <w:noProof/>
            <w:webHidden/>
          </w:rPr>
          <w:t>25</w:t>
        </w:r>
        <w:r w:rsidR="00FC0F0F">
          <w:rPr>
            <w:noProof/>
            <w:webHidden/>
          </w:rPr>
          <w:fldChar w:fldCharType="end"/>
        </w:r>
      </w:hyperlink>
    </w:p>
    <w:p w:rsidR="00891D73" w:rsidRDefault="00882BEB" w:rsidP="00146342">
      <w:pPr>
        <w:pStyle w:val="texto"/>
      </w:pPr>
      <w:r>
        <w:fldChar w:fldCharType="end"/>
      </w:r>
    </w:p>
    <w:p w:rsidR="00891D73" w:rsidRDefault="00891D73" w:rsidP="00146342">
      <w:pPr>
        <w:pStyle w:val="texto"/>
      </w:pPr>
    </w:p>
    <w:p w:rsidR="008E3FFE" w:rsidRDefault="008E3FFE" w:rsidP="00587AC6">
      <w:pPr>
        <w:pStyle w:val="texto"/>
        <w:ind w:firstLine="0"/>
        <w:sectPr w:rsidR="008E3FFE" w:rsidSect="00482F67">
          <w:type w:val="oddPage"/>
          <w:pgSz w:w="11907" w:h="16840" w:code="9"/>
          <w:pgMar w:top="2109" w:right="1559" w:bottom="1644" w:left="1559" w:header="369" w:footer="402" w:gutter="0"/>
          <w:pgNumType w:start="3"/>
          <w:cols w:space="720"/>
          <w:docGrid w:linePitch="360"/>
        </w:sectPr>
      </w:pPr>
    </w:p>
    <w:p w:rsidR="00BB7F16" w:rsidRDefault="00BB7F16" w:rsidP="00BB7F16">
      <w:pPr>
        <w:pStyle w:val="atitulo1"/>
      </w:pPr>
      <w:bookmarkStart w:id="1" w:name="_Toc303592528"/>
      <w:bookmarkStart w:id="2" w:name="_Toc309383711"/>
      <w:bookmarkStart w:id="3" w:name="_Toc339016600"/>
      <w:bookmarkStart w:id="4" w:name="_Toc463350236"/>
      <w:bookmarkStart w:id="5" w:name="_Toc463611381"/>
      <w:bookmarkStart w:id="6" w:name="_Toc465150099"/>
      <w:r w:rsidRPr="00FB570E">
        <w:lastRenderedPageBreak/>
        <w:t>I. Introducción</w:t>
      </w:r>
      <w:bookmarkEnd w:id="1"/>
      <w:bookmarkEnd w:id="2"/>
      <w:bookmarkEnd w:id="3"/>
      <w:bookmarkEnd w:id="4"/>
      <w:bookmarkEnd w:id="5"/>
      <w:bookmarkEnd w:id="6"/>
      <w:r>
        <w:t xml:space="preserve"> </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A petición del grupo parlamentario de Podemos-Ahal Dugu, la Junta de Po</w:t>
      </w:r>
      <w:r w:rsidRPr="00A63248">
        <w:rPr>
          <w:szCs w:val="26"/>
        </w:rPr>
        <w:t>r</w:t>
      </w:r>
      <w:r w:rsidRPr="00A63248">
        <w:rPr>
          <w:szCs w:val="26"/>
        </w:rPr>
        <w:t>tavoces d</w:t>
      </w:r>
      <w:r w:rsidR="00BB7F16">
        <w:rPr>
          <w:szCs w:val="26"/>
        </w:rPr>
        <w:t xml:space="preserve">el Parlamento de Navarra acordó el 25 de enero de 2016 solicitar a </w:t>
      </w:r>
      <w:r w:rsidRPr="00A63248">
        <w:rPr>
          <w:szCs w:val="26"/>
        </w:rPr>
        <w:t>la Cámara de Comptos</w:t>
      </w:r>
      <w:r w:rsidR="00BB7F16">
        <w:rPr>
          <w:szCs w:val="26"/>
        </w:rPr>
        <w:t xml:space="preserve"> la realización de</w:t>
      </w:r>
      <w:r w:rsidRPr="00A63248">
        <w:rPr>
          <w:szCs w:val="26"/>
        </w:rPr>
        <w:t xml:space="preserve"> un informe de fiscalización sobre “</w:t>
      </w:r>
      <w:r w:rsidRPr="00A63248">
        <w:rPr>
          <w:i/>
          <w:szCs w:val="26"/>
        </w:rPr>
        <w:t>las cuantías prescritas en el periodo de 2008 a 2015, las causas y las actuaciones de la Hacienda Tributaria de Navarra para evitar su prescripción</w:t>
      </w:r>
      <w:r w:rsidRPr="00A63248">
        <w:rPr>
          <w:szCs w:val="26"/>
        </w:rPr>
        <w:t>”.</w:t>
      </w:r>
    </w:p>
    <w:p w:rsidR="003A7C47" w:rsidRDefault="003A7C47" w:rsidP="003A7C47">
      <w:pPr>
        <w:pStyle w:val="texto"/>
        <w:tabs>
          <w:tab w:val="clear" w:pos="2835"/>
          <w:tab w:val="clear" w:pos="3969"/>
          <w:tab w:val="clear" w:pos="5103"/>
          <w:tab w:val="clear" w:pos="6237"/>
          <w:tab w:val="clear" w:pos="7371"/>
        </w:tabs>
        <w:rPr>
          <w:szCs w:val="26"/>
        </w:rPr>
      </w:pPr>
      <w:r>
        <w:rPr>
          <w:szCs w:val="26"/>
        </w:rPr>
        <w:t>Al objeto de dar cumplimiento a esta petición, se incluyó en el Programa de Fiscalización de 2016 de esta Cámara la realización del mencionado trabajo.</w:t>
      </w:r>
    </w:p>
    <w:p w:rsidR="003A7C47" w:rsidRPr="00C9451A" w:rsidRDefault="003A7C47" w:rsidP="00CB2305">
      <w:pPr>
        <w:pStyle w:val="texto"/>
        <w:tabs>
          <w:tab w:val="clear" w:pos="2835"/>
          <w:tab w:val="clear" w:pos="3969"/>
          <w:tab w:val="clear" w:pos="5103"/>
          <w:tab w:val="clear" w:pos="6237"/>
          <w:tab w:val="clear" w:pos="7371"/>
        </w:tabs>
        <w:rPr>
          <w:szCs w:val="26"/>
        </w:rPr>
      </w:pPr>
      <w:r>
        <w:rPr>
          <w:szCs w:val="26"/>
        </w:rPr>
        <w:t xml:space="preserve">La Cámara de Comptos </w:t>
      </w:r>
      <w:r w:rsidRPr="0076219E">
        <w:rPr>
          <w:szCs w:val="26"/>
        </w:rPr>
        <w:t>h</w:t>
      </w:r>
      <w:r>
        <w:rPr>
          <w:szCs w:val="26"/>
        </w:rPr>
        <w:t>a</w:t>
      </w:r>
      <w:r w:rsidRPr="0076219E">
        <w:rPr>
          <w:szCs w:val="26"/>
        </w:rPr>
        <w:t xml:space="preserve"> planificado y ejecutado una fiscalización de cu</w:t>
      </w:r>
      <w:r w:rsidRPr="0076219E">
        <w:rPr>
          <w:szCs w:val="26"/>
        </w:rPr>
        <w:t>m</w:t>
      </w:r>
      <w:r w:rsidRPr="0076219E">
        <w:rPr>
          <w:szCs w:val="26"/>
        </w:rPr>
        <w:t>plimiento de la legalidad para emitir una opinión sobre si</w:t>
      </w:r>
      <w:r>
        <w:rPr>
          <w:szCs w:val="26"/>
        </w:rPr>
        <w:t xml:space="preserve"> la prescripción de deudas tributarias realizadas por la Hacienda Tributaria de Navarra (en adelante HTN) </w:t>
      </w:r>
      <w:r w:rsidRPr="0076219E">
        <w:rPr>
          <w:szCs w:val="26"/>
        </w:rPr>
        <w:t>resulta</w:t>
      </w:r>
      <w:r>
        <w:rPr>
          <w:szCs w:val="26"/>
        </w:rPr>
        <w:t>n</w:t>
      </w:r>
      <w:r w:rsidRPr="0076219E">
        <w:rPr>
          <w:szCs w:val="26"/>
        </w:rPr>
        <w:t xml:space="preserve"> conforme</w:t>
      </w:r>
      <w:r w:rsidR="007A2F8F">
        <w:rPr>
          <w:szCs w:val="26"/>
        </w:rPr>
        <w:t>,</w:t>
      </w:r>
      <w:r w:rsidRPr="0076219E">
        <w:rPr>
          <w:szCs w:val="26"/>
        </w:rPr>
        <w:t xml:space="preserve"> en todos los aspectos significativos</w:t>
      </w:r>
      <w:r w:rsidR="007A2F8F">
        <w:rPr>
          <w:szCs w:val="26"/>
        </w:rPr>
        <w:t>,</w:t>
      </w:r>
      <w:r w:rsidRPr="0076219E">
        <w:rPr>
          <w:szCs w:val="26"/>
        </w:rPr>
        <w:t xml:space="preserve"> con las normas aplicables a la gestión de los fondos públicos. </w:t>
      </w:r>
    </w:p>
    <w:p w:rsidR="003A7C47" w:rsidRDefault="003A7C47" w:rsidP="003A7C47">
      <w:pPr>
        <w:pStyle w:val="texto"/>
        <w:tabs>
          <w:tab w:val="clear" w:pos="2835"/>
          <w:tab w:val="clear" w:pos="3969"/>
          <w:tab w:val="clear" w:pos="5103"/>
          <w:tab w:val="clear" w:pos="6237"/>
          <w:tab w:val="clear" w:pos="7371"/>
        </w:tabs>
        <w:rPr>
          <w:szCs w:val="26"/>
        </w:rPr>
      </w:pPr>
      <w:r w:rsidRPr="00633D2F">
        <w:rPr>
          <w:szCs w:val="26"/>
        </w:rPr>
        <w:t xml:space="preserve">El ámbito temporal de nuestro trabajo se </w:t>
      </w:r>
      <w:r>
        <w:rPr>
          <w:szCs w:val="26"/>
        </w:rPr>
        <w:t>ha extendido, de acuerdo con la p</w:t>
      </w:r>
      <w:r>
        <w:rPr>
          <w:szCs w:val="26"/>
        </w:rPr>
        <w:t>e</w:t>
      </w:r>
      <w:r>
        <w:rPr>
          <w:szCs w:val="26"/>
        </w:rPr>
        <w:t>tición parlamentaria, al periodo de 2008 a 2015.</w:t>
      </w:r>
    </w:p>
    <w:p w:rsidR="003A7C47" w:rsidRPr="00A0407B" w:rsidRDefault="003A7C47" w:rsidP="003A7C47">
      <w:pPr>
        <w:pStyle w:val="texto"/>
        <w:tabs>
          <w:tab w:val="clear" w:pos="2835"/>
          <w:tab w:val="clear" w:pos="3969"/>
          <w:tab w:val="clear" w:pos="5103"/>
          <w:tab w:val="clear" w:pos="6237"/>
          <w:tab w:val="clear" w:pos="7371"/>
        </w:tabs>
        <w:rPr>
          <w:szCs w:val="26"/>
        </w:rPr>
      </w:pPr>
      <w:r w:rsidRPr="008D1EB9">
        <w:rPr>
          <w:szCs w:val="26"/>
        </w:rPr>
        <w:t xml:space="preserve">El informe se estructura en </w:t>
      </w:r>
      <w:r>
        <w:rPr>
          <w:szCs w:val="26"/>
        </w:rPr>
        <w:t>c</w:t>
      </w:r>
      <w:r w:rsidR="002B4D49">
        <w:rPr>
          <w:szCs w:val="26"/>
        </w:rPr>
        <w:t>inco</w:t>
      </w:r>
      <w:r w:rsidRPr="008D1EB9">
        <w:rPr>
          <w:szCs w:val="26"/>
        </w:rPr>
        <w:t xml:space="preserve"> epígrafes, incluyendo esta introducción</w:t>
      </w:r>
      <w:r>
        <w:rPr>
          <w:szCs w:val="26"/>
        </w:rPr>
        <w:t>. E</w:t>
      </w:r>
      <w:r w:rsidR="007A2F8F">
        <w:rPr>
          <w:szCs w:val="26"/>
        </w:rPr>
        <w:t>n e</w:t>
      </w:r>
      <w:r>
        <w:rPr>
          <w:szCs w:val="26"/>
        </w:rPr>
        <w:t>l segundo se indica el objetivo y alcance del trabajo realizado. Unas notas g</w:t>
      </w:r>
      <w:r>
        <w:rPr>
          <w:szCs w:val="26"/>
        </w:rPr>
        <w:t>e</w:t>
      </w:r>
      <w:r>
        <w:rPr>
          <w:szCs w:val="26"/>
        </w:rPr>
        <w:t xml:space="preserve">nerales sobre la prescripción e insolvencias se recogen en el epígrafe tercero. </w:t>
      </w:r>
      <w:r w:rsidR="00CB2305">
        <w:rPr>
          <w:szCs w:val="26"/>
        </w:rPr>
        <w:t>En el cuarto presentamos la cuantificación de las deudas prescritas en el peri</w:t>
      </w:r>
      <w:r w:rsidR="00CB2305">
        <w:rPr>
          <w:szCs w:val="26"/>
        </w:rPr>
        <w:t>o</w:t>
      </w:r>
      <w:r w:rsidR="00CB2305">
        <w:rPr>
          <w:szCs w:val="26"/>
        </w:rPr>
        <w:t xml:space="preserve">do analizado y </w:t>
      </w:r>
      <w:r>
        <w:rPr>
          <w:szCs w:val="26"/>
        </w:rPr>
        <w:t>nuestra opinión sobre el cumplimiento de legalidad en la</w:t>
      </w:r>
      <w:r w:rsidR="002B4D49">
        <w:rPr>
          <w:szCs w:val="26"/>
        </w:rPr>
        <w:t>s</w:t>
      </w:r>
      <w:r w:rsidR="00CB2305">
        <w:rPr>
          <w:szCs w:val="26"/>
        </w:rPr>
        <w:t xml:space="preserve"> mi</w:t>
      </w:r>
      <w:r w:rsidR="00CB2305">
        <w:rPr>
          <w:szCs w:val="26"/>
        </w:rPr>
        <w:t>s</w:t>
      </w:r>
      <w:r w:rsidR="00CB2305">
        <w:rPr>
          <w:szCs w:val="26"/>
        </w:rPr>
        <w:t>mas.</w:t>
      </w:r>
      <w:r w:rsidR="002B4D49">
        <w:rPr>
          <w:szCs w:val="26"/>
        </w:rPr>
        <w:t xml:space="preserve"> </w:t>
      </w:r>
      <w:r>
        <w:rPr>
          <w:szCs w:val="26"/>
        </w:rPr>
        <w:t xml:space="preserve">Finalmente en el quinto, </w:t>
      </w:r>
      <w:r w:rsidR="002B4D49" w:rsidRPr="008D1EB9">
        <w:rPr>
          <w:szCs w:val="26"/>
        </w:rPr>
        <w:t>refleja</w:t>
      </w:r>
      <w:r w:rsidR="001C7C66">
        <w:rPr>
          <w:szCs w:val="26"/>
        </w:rPr>
        <w:t xml:space="preserve">mos las </w:t>
      </w:r>
      <w:r w:rsidR="002B4D49">
        <w:rPr>
          <w:szCs w:val="26"/>
        </w:rPr>
        <w:t>observaciones</w:t>
      </w:r>
      <w:r w:rsidR="002B4D49" w:rsidRPr="008D1EB9">
        <w:rPr>
          <w:szCs w:val="26"/>
        </w:rPr>
        <w:t xml:space="preserve"> obtenidas</w:t>
      </w:r>
      <w:r w:rsidR="002B4D49">
        <w:rPr>
          <w:szCs w:val="26"/>
        </w:rPr>
        <w:t xml:space="preserve"> que no afectan a la opinión así como las recomendaciones que se emiten al objeto de mejorar la gestión.</w:t>
      </w:r>
      <w:r>
        <w:rPr>
          <w:szCs w:val="26"/>
        </w:rPr>
        <w:t xml:space="preserve"> </w:t>
      </w:r>
    </w:p>
    <w:p w:rsidR="003A7C47" w:rsidRDefault="003A7C47" w:rsidP="003A7C47">
      <w:pPr>
        <w:pStyle w:val="texto"/>
        <w:tabs>
          <w:tab w:val="clear" w:pos="2835"/>
          <w:tab w:val="clear" w:pos="3969"/>
          <w:tab w:val="clear" w:pos="5103"/>
          <w:tab w:val="clear" w:pos="6237"/>
          <w:tab w:val="clear" w:pos="7371"/>
        </w:tabs>
        <w:rPr>
          <w:szCs w:val="26"/>
        </w:rPr>
      </w:pPr>
      <w:r w:rsidRPr="008D1EB9">
        <w:rPr>
          <w:szCs w:val="26"/>
        </w:rPr>
        <w:t xml:space="preserve">El trabajo de campo </w:t>
      </w:r>
      <w:r>
        <w:rPr>
          <w:szCs w:val="26"/>
        </w:rPr>
        <w:t>lo</w:t>
      </w:r>
      <w:r w:rsidRPr="008D1EB9">
        <w:rPr>
          <w:szCs w:val="26"/>
        </w:rPr>
        <w:t xml:space="preserve"> ejecutó</w:t>
      </w:r>
      <w:r w:rsidR="007A2F8F">
        <w:rPr>
          <w:szCs w:val="26"/>
        </w:rPr>
        <w:t>,</w:t>
      </w:r>
      <w:r w:rsidRPr="008D1EB9">
        <w:rPr>
          <w:szCs w:val="26"/>
        </w:rPr>
        <w:t xml:space="preserve"> </w:t>
      </w:r>
      <w:r>
        <w:rPr>
          <w:szCs w:val="26"/>
        </w:rPr>
        <w:t>entre mayo y septiembre</w:t>
      </w:r>
      <w:r w:rsidRPr="008D1EB9">
        <w:rPr>
          <w:szCs w:val="26"/>
        </w:rPr>
        <w:t xml:space="preserve"> de 201</w:t>
      </w:r>
      <w:r w:rsidR="00FA7C3C">
        <w:rPr>
          <w:szCs w:val="26"/>
        </w:rPr>
        <w:t>6</w:t>
      </w:r>
      <w:r w:rsidR="007A2F8F">
        <w:rPr>
          <w:szCs w:val="26"/>
        </w:rPr>
        <w:t>,</w:t>
      </w:r>
      <w:r w:rsidRPr="008D1EB9">
        <w:rPr>
          <w:szCs w:val="26"/>
        </w:rPr>
        <w:t xml:space="preserve"> un equipo integrado por</w:t>
      </w:r>
      <w:r>
        <w:rPr>
          <w:szCs w:val="26"/>
        </w:rPr>
        <w:t xml:space="preserve"> una técnica de auditoría</w:t>
      </w:r>
      <w:r w:rsidRPr="008D1EB9">
        <w:rPr>
          <w:szCs w:val="26"/>
        </w:rPr>
        <w:t xml:space="preserve"> y un auditor, con la colaboración de los servicios jurídicos, informáticos y administrativos de la Cámara. </w:t>
      </w:r>
    </w:p>
    <w:p w:rsidR="003A7C47" w:rsidRPr="00274D80" w:rsidRDefault="003A7C47" w:rsidP="003A7C47">
      <w:pPr>
        <w:pStyle w:val="texto"/>
        <w:tabs>
          <w:tab w:val="clear" w:pos="2835"/>
          <w:tab w:val="clear" w:pos="3969"/>
          <w:tab w:val="clear" w:pos="5103"/>
          <w:tab w:val="clear" w:pos="6237"/>
          <w:tab w:val="clear" w:pos="7371"/>
        </w:tabs>
        <w:rPr>
          <w:szCs w:val="26"/>
        </w:rPr>
      </w:pPr>
      <w:r w:rsidRPr="00274D80">
        <w:rPr>
          <w:szCs w:val="26"/>
        </w:rPr>
        <w:t xml:space="preserve">Los resultados de esta actuación se pusieron de manifiesto </w:t>
      </w:r>
      <w:r w:rsidR="00FA7C3C" w:rsidRPr="00274D80">
        <w:rPr>
          <w:szCs w:val="26"/>
        </w:rPr>
        <w:t>a los actuales Consejero de Hacienda y Política Financiera y</w:t>
      </w:r>
      <w:r w:rsidR="00E948E0" w:rsidRPr="00274D80">
        <w:rPr>
          <w:szCs w:val="26"/>
        </w:rPr>
        <w:t xml:space="preserve"> </w:t>
      </w:r>
      <w:r w:rsidR="00FA7C3C" w:rsidRPr="00274D80">
        <w:rPr>
          <w:szCs w:val="26"/>
        </w:rPr>
        <w:t>D</w:t>
      </w:r>
      <w:r w:rsidR="00864298" w:rsidRPr="00274D80">
        <w:rPr>
          <w:szCs w:val="26"/>
        </w:rPr>
        <w:t xml:space="preserve">irector </w:t>
      </w:r>
      <w:r w:rsidR="00FA7C3C" w:rsidRPr="00274D80">
        <w:rPr>
          <w:szCs w:val="26"/>
        </w:rPr>
        <w:t>G</w:t>
      </w:r>
      <w:r w:rsidR="00864298" w:rsidRPr="00274D80">
        <w:rPr>
          <w:szCs w:val="26"/>
        </w:rPr>
        <w:t>erente de la Hacienda Tributaria de Navarra</w:t>
      </w:r>
      <w:r w:rsidRPr="00274D80">
        <w:rPr>
          <w:szCs w:val="26"/>
        </w:rPr>
        <w:t xml:space="preserve"> y a la</w:t>
      </w:r>
      <w:r w:rsidR="002A7EB4" w:rsidRPr="00274D80">
        <w:rPr>
          <w:szCs w:val="26"/>
        </w:rPr>
        <w:t>s</w:t>
      </w:r>
      <w:r w:rsidRPr="00274D80">
        <w:rPr>
          <w:szCs w:val="26"/>
        </w:rPr>
        <w:t xml:space="preserve"> persona</w:t>
      </w:r>
      <w:r w:rsidR="002A7EB4" w:rsidRPr="00274D80">
        <w:rPr>
          <w:szCs w:val="26"/>
        </w:rPr>
        <w:t>s</w:t>
      </w:r>
      <w:r w:rsidRPr="00274D80">
        <w:rPr>
          <w:szCs w:val="26"/>
        </w:rPr>
        <w:t xml:space="preserve"> que </w:t>
      </w:r>
      <w:r w:rsidR="00B353CC" w:rsidRPr="00274D80">
        <w:rPr>
          <w:szCs w:val="26"/>
        </w:rPr>
        <w:t>ejercieron</w:t>
      </w:r>
      <w:r w:rsidR="00FA7C3C" w:rsidRPr="00274D80">
        <w:rPr>
          <w:szCs w:val="26"/>
        </w:rPr>
        <w:t xml:space="preserve"> tales cargos</w:t>
      </w:r>
      <w:r w:rsidRPr="00274D80">
        <w:rPr>
          <w:szCs w:val="26"/>
        </w:rPr>
        <w:t xml:space="preserve"> en la legisl</w:t>
      </w:r>
      <w:r w:rsidRPr="00274D80">
        <w:rPr>
          <w:szCs w:val="26"/>
        </w:rPr>
        <w:t>a</w:t>
      </w:r>
      <w:r w:rsidRPr="00274D80">
        <w:rPr>
          <w:szCs w:val="26"/>
        </w:rPr>
        <w:t xml:space="preserve">tura anterior, para que formulasen, en su caso, las alegaciones que estimasen oportunas, de conformidad con lo previsto en el art. 11.2 de la Ley  Foral 19/1984, reguladora de la Cámara de Comptos de Navarra. </w:t>
      </w:r>
      <w:r w:rsidR="00257CB2">
        <w:rPr>
          <w:szCs w:val="26"/>
        </w:rPr>
        <w:t>Transcurrido el pl</w:t>
      </w:r>
      <w:r w:rsidR="00257CB2">
        <w:rPr>
          <w:szCs w:val="26"/>
        </w:rPr>
        <w:t>a</w:t>
      </w:r>
      <w:r w:rsidR="00257CB2">
        <w:rPr>
          <w:szCs w:val="26"/>
        </w:rPr>
        <w:t>zo fijado, no se han recibido alegaciones.</w:t>
      </w:r>
    </w:p>
    <w:p w:rsidR="003A7C47" w:rsidRDefault="003A7C47" w:rsidP="003A7C47">
      <w:pPr>
        <w:pStyle w:val="texto"/>
        <w:tabs>
          <w:tab w:val="clear" w:pos="2835"/>
          <w:tab w:val="clear" w:pos="3969"/>
          <w:tab w:val="clear" w:pos="5103"/>
          <w:tab w:val="clear" w:pos="6237"/>
          <w:tab w:val="clear" w:pos="7371"/>
        </w:tabs>
        <w:rPr>
          <w:szCs w:val="26"/>
        </w:rPr>
      </w:pPr>
      <w:r w:rsidRPr="00A522C1">
        <w:rPr>
          <w:szCs w:val="26"/>
        </w:rPr>
        <w:t xml:space="preserve">Agradecemos al </w:t>
      </w:r>
      <w:r>
        <w:rPr>
          <w:szCs w:val="26"/>
        </w:rPr>
        <w:t xml:space="preserve">personal del Servicio de Recaudación de la HTN </w:t>
      </w:r>
      <w:r w:rsidRPr="00A522C1">
        <w:rPr>
          <w:szCs w:val="26"/>
        </w:rPr>
        <w:t>la colab</w:t>
      </w:r>
      <w:r w:rsidRPr="00A522C1">
        <w:rPr>
          <w:szCs w:val="26"/>
        </w:rPr>
        <w:t>o</w:t>
      </w:r>
      <w:r w:rsidRPr="00A522C1">
        <w:rPr>
          <w:szCs w:val="26"/>
        </w:rPr>
        <w:t>ración prestada en la realización del presente trabajo.</w:t>
      </w:r>
    </w:p>
    <w:p w:rsidR="001C7C66" w:rsidRDefault="001C7C66">
      <w:pPr>
        <w:spacing w:after="0"/>
        <w:ind w:firstLine="0"/>
        <w:jc w:val="left"/>
        <w:rPr>
          <w:rFonts w:ascii="Arial" w:hAnsi="Arial"/>
          <w:b/>
          <w:color w:val="000000"/>
          <w:kern w:val="28"/>
          <w:sz w:val="25"/>
          <w:szCs w:val="26"/>
        </w:rPr>
      </w:pPr>
      <w:bookmarkStart w:id="7" w:name="_Toc463611382"/>
      <w:r>
        <w:br w:type="page"/>
      </w:r>
    </w:p>
    <w:p w:rsidR="001C7C66" w:rsidRDefault="001C7C66" w:rsidP="001C7C66">
      <w:pPr>
        <w:pStyle w:val="atitulo1"/>
      </w:pPr>
      <w:bookmarkStart w:id="8" w:name="_Toc465150100"/>
      <w:r>
        <w:lastRenderedPageBreak/>
        <w:t>II. Objetivo y alcance</w:t>
      </w:r>
      <w:bookmarkEnd w:id="7"/>
      <w:bookmarkEnd w:id="8"/>
    </w:p>
    <w:p w:rsidR="001C7C66" w:rsidRDefault="001C7C66" w:rsidP="001C7C66">
      <w:pPr>
        <w:pStyle w:val="texto"/>
        <w:tabs>
          <w:tab w:val="clear" w:pos="2835"/>
          <w:tab w:val="clear" w:pos="3969"/>
          <w:tab w:val="clear" w:pos="5103"/>
          <w:tab w:val="clear" w:pos="6237"/>
          <w:tab w:val="clear" w:pos="7371"/>
        </w:tabs>
        <w:rPr>
          <w:szCs w:val="26"/>
        </w:rPr>
      </w:pPr>
      <w:r>
        <w:rPr>
          <w:szCs w:val="26"/>
        </w:rPr>
        <w:t>De acuerdo con la Ley Foral 19/1984, de 20 de diciembre, reguladora de la Cámara de Comptos y atendiendo la citada petición parlamentaria, se ha inclu</w:t>
      </w:r>
      <w:r>
        <w:rPr>
          <w:szCs w:val="26"/>
        </w:rPr>
        <w:t>i</w:t>
      </w:r>
      <w:r>
        <w:rPr>
          <w:szCs w:val="26"/>
        </w:rPr>
        <w:t>do en su programa de actuación de 2016 la elaboración de un informe sobre “</w:t>
      </w:r>
      <w:r w:rsidRPr="009223A7">
        <w:rPr>
          <w:i/>
          <w:szCs w:val="26"/>
        </w:rPr>
        <w:t xml:space="preserve">la </w:t>
      </w:r>
      <w:r w:rsidR="00DE49CF">
        <w:rPr>
          <w:i/>
          <w:szCs w:val="26"/>
        </w:rPr>
        <w:t>prescripción de deudas tributarias en el periodo de 2008 a 2015</w:t>
      </w:r>
      <w:r>
        <w:rPr>
          <w:szCs w:val="26"/>
        </w:rPr>
        <w:t>”.</w:t>
      </w:r>
    </w:p>
    <w:p w:rsidR="00DE49CF" w:rsidRPr="006C75E4" w:rsidRDefault="00DE49CF" w:rsidP="006C75E4">
      <w:pPr>
        <w:pStyle w:val="texto"/>
        <w:tabs>
          <w:tab w:val="clear" w:pos="2835"/>
          <w:tab w:val="clear" w:pos="3969"/>
          <w:tab w:val="clear" w:pos="5103"/>
          <w:tab w:val="clear" w:pos="6237"/>
          <w:tab w:val="clear" w:pos="7371"/>
        </w:tabs>
        <w:rPr>
          <w:szCs w:val="26"/>
        </w:rPr>
      </w:pPr>
      <w:r>
        <w:rPr>
          <w:szCs w:val="26"/>
        </w:rPr>
        <w:t xml:space="preserve">El objetivo </w:t>
      </w:r>
      <w:r w:rsidR="001C7C66">
        <w:rPr>
          <w:szCs w:val="26"/>
        </w:rPr>
        <w:t>de nuestro informe</w:t>
      </w:r>
      <w:r>
        <w:rPr>
          <w:szCs w:val="26"/>
        </w:rPr>
        <w:t xml:space="preserve"> </w:t>
      </w:r>
      <w:r w:rsidR="001C7C66">
        <w:rPr>
          <w:szCs w:val="26"/>
        </w:rPr>
        <w:t>consiste en expresar una</w:t>
      </w:r>
      <w:r>
        <w:rPr>
          <w:szCs w:val="26"/>
        </w:rPr>
        <w:t xml:space="preserve"> opinión sobre el cumplimiento de legalidad sobre las prescripciones realizadas por la HTN en el periodo de 2008 a 2015 así como la cuantificación de las mismas y su adecuado </w:t>
      </w:r>
      <w:r w:rsidR="006C75E4">
        <w:rPr>
          <w:szCs w:val="26"/>
        </w:rPr>
        <w:t xml:space="preserve">tratamiento procedimental y </w:t>
      </w:r>
      <w:r>
        <w:rPr>
          <w:szCs w:val="26"/>
        </w:rPr>
        <w:t>contable.</w:t>
      </w:r>
      <w:r>
        <w:rPr>
          <w:szCs w:val="26"/>
          <w:lang w:val="es-ES"/>
        </w:rPr>
        <w:t xml:space="preserve"> </w:t>
      </w:r>
    </w:p>
    <w:p w:rsidR="00DE49CF" w:rsidRPr="00175B28" w:rsidRDefault="00DE49CF" w:rsidP="00DE49CF">
      <w:pPr>
        <w:pStyle w:val="texto"/>
        <w:tabs>
          <w:tab w:val="clear" w:pos="2835"/>
          <w:tab w:val="clear" w:pos="3969"/>
          <w:tab w:val="clear" w:pos="5103"/>
          <w:tab w:val="clear" w:pos="6237"/>
          <w:tab w:val="clear" w:pos="7371"/>
        </w:tabs>
        <w:rPr>
          <w:spacing w:val="0"/>
          <w:szCs w:val="26"/>
        </w:rPr>
      </w:pPr>
      <w:r w:rsidRPr="00175B28">
        <w:rPr>
          <w:spacing w:val="0"/>
          <w:szCs w:val="26"/>
        </w:rPr>
        <w:t>El marco normativo que resulta aplicable está constituido fundamentalmente por:</w:t>
      </w:r>
    </w:p>
    <w:p w:rsidR="00DE49CF" w:rsidRPr="00CB2305" w:rsidRDefault="00DE49CF" w:rsidP="00DE49CF">
      <w:pPr>
        <w:pStyle w:val="texto"/>
        <w:numPr>
          <w:ilvl w:val="0"/>
          <w:numId w:val="1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sidRPr="00CB2305">
        <w:rPr>
          <w:spacing w:val="-4"/>
          <w:szCs w:val="26"/>
        </w:rPr>
        <w:t>Ley Foral 13/2007, de la Hacienda Pública de Navarra.</w:t>
      </w:r>
    </w:p>
    <w:p w:rsidR="00DE49CF" w:rsidRPr="00CB2305" w:rsidRDefault="00DE49CF" w:rsidP="00DE49CF">
      <w:pPr>
        <w:pStyle w:val="texto"/>
        <w:numPr>
          <w:ilvl w:val="0"/>
          <w:numId w:val="1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sidRPr="00CB2305">
        <w:rPr>
          <w:spacing w:val="-4"/>
          <w:szCs w:val="26"/>
        </w:rPr>
        <w:t>Ley Foral 13/2000, General Tributaria de Navarra.</w:t>
      </w:r>
    </w:p>
    <w:p w:rsidR="00DE49CF" w:rsidRPr="00CB2305" w:rsidRDefault="00DE49CF" w:rsidP="00DE49CF">
      <w:pPr>
        <w:pStyle w:val="texto"/>
        <w:numPr>
          <w:ilvl w:val="0"/>
          <w:numId w:val="1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sidRPr="00CB2305">
        <w:rPr>
          <w:spacing w:val="-4"/>
          <w:szCs w:val="26"/>
        </w:rPr>
        <w:t xml:space="preserve">Decreto Foral 177/2001, de Reglamento de Recaudación de la Comunidad Foral de Navarra. </w:t>
      </w:r>
    </w:p>
    <w:p w:rsidR="00DE49CF" w:rsidRPr="00CB2305" w:rsidRDefault="00DE49CF" w:rsidP="00DE49CF">
      <w:pPr>
        <w:pStyle w:val="texto"/>
        <w:numPr>
          <w:ilvl w:val="0"/>
          <w:numId w:val="1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sidRPr="00CB2305">
        <w:rPr>
          <w:spacing w:val="-4"/>
          <w:szCs w:val="26"/>
        </w:rPr>
        <w:t>Decreto Foral 119/2007, por el que se aprueban los Estatutos de la HTN.</w:t>
      </w:r>
    </w:p>
    <w:p w:rsidR="00DE49CF" w:rsidRPr="00CB2305" w:rsidRDefault="00DE49CF" w:rsidP="00DE49CF">
      <w:pPr>
        <w:pStyle w:val="texto"/>
        <w:numPr>
          <w:ilvl w:val="0"/>
          <w:numId w:val="13"/>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sidRPr="00CB2305">
        <w:rPr>
          <w:spacing w:val="-4"/>
          <w:szCs w:val="26"/>
        </w:rPr>
        <w:t>Decreto Foral 135/2015, por el que se aprueban los nuevos Estatutos de la HTN.</w:t>
      </w:r>
      <w:r w:rsidRPr="00CB2305">
        <w:rPr>
          <w:szCs w:val="26"/>
        </w:rPr>
        <w:t xml:space="preserve"> </w:t>
      </w:r>
    </w:p>
    <w:p w:rsidR="00DE49CF" w:rsidRPr="004C5A9B" w:rsidRDefault="00DE49CF" w:rsidP="00DE49CF">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pacing w:val="4"/>
          <w:szCs w:val="26"/>
        </w:rPr>
      </w:pPr>
      <w:r w:rsidRPr="004C5A9B">
        <w:rPr>
          <w:spacing w:val="4"/>
          <w:szCs w:val="26"/>
        </w:rPr>
        <w:t xml:space="preserve">Las correspondientes resoluciones </w:t>
      </w:r>
      <w:r w:rsidR="004C5A9B" w:rsidRPr="004C5A9B">
        <w:rPr>
          <w:spacing w:val="4"/>
          <w:szCs w:val="26"/>
        </w:rPr>
        <w:t>por las que se</w:t>
      </w:r>
      <w:r w:rsidRPr="004C5A9B">
        <w:rPr>
          <w:spacing w:val="4"/>
          <w:szCs w:val="26"/>
        </w:rPr>
        <w:t xml:space="preserve"> aprueban las prescripciones de deuda tributaria en dichos ejercicios.  </w:t>
      </w:r>
    </w:p>
    <w:p w:rsidR="00CD116F" w:rsidRPr="00CD116F" w:rsidRDefault="001C7C66" w:rsidP="00CD116F">
      <w:pPr>
        <w:pStyle w:val="texto"/>
        <w:tabs>
          <w:tab w:val="clear" w:pos="2835"/>
          <w:tab w:val="clear" w:pos="3969"/>
          <w:tab w:val="clear" w:pos="5103"/>
          <w:tab w:val="clear" w:pos="6237"/>
          <w:tab w:val="clear" w:pos="7371"/>
        </w:tabs>
        <w:rPr>
          <w:szCs w:val="26"/>
        </w:rPr>
      </w:pPr>
      <w:r>
        <w:rPr>
          <w:szCs w:val="26"/>
        </w:rPr>
        <w:t xml:space="preserve">En cuanto al alcance del trabajo, se ha analizado fundamentalmente el marco general que regula </w:t>
      </w:r>
      <w:r w:rsidR="00CD116F">
        <w:rPr>
          <w:szCs w:val="26"/>
        </w:rPr>
        <w:t xml:space="preserve">la prescripción de las deudas tributarias, su cuantificación para el periodo solicitado y, sobre una muestra de ellas, el análisis sobre su adecuada autorización y </w:t>
      </w:r>
      <w:r w:rsidR="00CD116F" w:rsidRPr="00CD116F">
        <w:rPr>
          <w:szCs w:val="26"/>
        </w:rPr>
        <w:t>respaldo justificativo,</w:t>
      </w:r>
      <w:r w:rsidR="00CD116F">
        <w:rPr>
          <w:szCs w:val="26"/>
        </w:rPr>
        <w:t xml:space="preserve"> el </w:t>
      </w:r>
      <w:r w:rsidR="00CD116F" w:rsidRPr="00CD116F">
        <w:rPr>
          <w:szCs w:val="26"/>
        </w:rPr>
        <w:t xml:space="preserve">proceso de gestión de cobro aplicado sobre </w:t>
      </w:r>
      <w:r w:rsidR="00CD116F">
        <w:rPr>
          <w:szCs w:val="26"/>
        </w:rPr>
        <w:t>dichas</w:t>
      </w:r>
      <w:r w:rsidR="00CD116F" w:rsidRPr="00CD116F">
        <w:rPr>
          <w:szCs w:val="26"/>
        </w:rPr>
        <w:t xml:space="preserve"> deudas prescritas</w:t>
      </w:r>
      <w:r w:rsidR="00CD116F">
        <w:rPr>
          <w:szCs w:val="26"/>
        </w:rPr>
        <w:t xml:space="preserve"> y </w:t>
      </w:r>
      <w:r w:rsidR="00CD116F" w:rsidRPr="00CD116F">
        <w:rPr>
          <w:szCs w:val="26"/>
        </w:rPr>
        <w:t>su correcto tratamiento contable</w:t>
      </w:r>
      <w:r w:rsidR="00CD116F">
        <w:rPr>
          <w:szCs w:val="26"/>
        </w:rPr>
        <w:t xml:space="preserve">. </w:t>
      </w:r>
    </w:p>
    <w:p w:rsidR="003A7C47" w:rsidRDefault="003A7C47">
      <w:pPr>
        <w:spacing w:after="0"/>
        <w:ind w:firstLine="0"/>
        <w:jc w:val="left"/>
        <w:rPr>
          <w:rFonts w:ascii="Arial" w:hAnsi="Arial"/>
          <w:b/>
          <w:color w:val="000000"/>
          <w:kern w:val="28"/>
          <w:sz w:val="25"/>
          <w:szCs w:val="26"/>
        </w:rPr>
      </w:pPr>
      <w:r>
        <w:br w:type="page"/>
      </w:r>
    </w:p>
    <w:p w:rsidR="00643EB3" w:rsidRDefault="00BB7F16" w:rsidP="00BB7F16">
      <w:pPr>
        <w:pStyle w:val="atitulo1"/>
      </w:pPr>
      <w:bookmarkStart w:id="9" w:name="_Toc465150101"/>
      <w:r>
        <w:lastRenderedPageBreak/>
        <w:t>II</w:t>
      </w:r>
      <w:r w:rsidR="001C7C66">
        <w:t>I</w:t>
      </w:r>
      <w:r>
        <w:t xml:space="preserve">. </w:t>
      </w:r>
      <w:r w:rsidR="00643EB3">
        <w:t>Notas generales sobre la prescripción</w:t>
      </w:r>
      <w:r w:rsidR="00304181">
        <w:t xml:space="preserve"> e insolvencia</w:t>
      </w:r>
      <w:bookmarkEnd w:id="9"/>
    </w:p>
    <w:p w:rsidR="00643EB3" w:rsidRPr="00A63248" w:rsidRDefault="00643EB3" w:rsidP="00643EB3">
      <w:pPr>
        <w:pStyle w:val="texto"/>
        <w:tabs>
          <w:tab w:val="clear" w:pos="2835"/>
          <w:tab w:val="clear" w:pos="3969"/>
          <w:tab w:val="clear" w:pos="5103"/>
          <w:tab w:val="clear" w:pos="6237"/>
          <w:tab w:val="clear" w:pos="7371"/>
          <w:tab w:val="num" w:pos="284"/>
          <w:tab w:val="num" w:pos="720"/>
        </w:tabs>
        <w:rPr>
          <w:szCs w:val="26"/>
        </w:rPr>
      </w:pPr>
      <w:r w:rsidRPr="00A63248">
        <w:rPr>
          <w:szCs w:val="26"/>
        </w:rPr>
        <w:t>La extinción de las deudas a favor de la Administración de la Comunidad Foral puede efectuarse por las siguientes fórmulas:</w:t>
      </w:r>
    </w:p>
    <w:p w:rsidR="00643EB3" w:rsidRPr="00C9451A" w:rsidRDefault="00643EB3" w:rsidP="006256FE">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pacing w:val="4"/>
          <w:szCs w:val="26"/>
          <w:lang w:val="es-ES"/>
        </w:rPr>
      </w:pPr>
      <w:r w:rsidRPr="00C9451A">
        <w:rPr>
          <w:szCs w:val="26"/>
          <w:lang w:val="es-ES"/>
        </w:rPr>
        <w:t>Pa</w:t>
      </w:r>
      <w:r w:rsidRPr="00C9451A">
        <w:rPr>
          <w:spacing w:val="4"/>
          <w:szCs w:val="26"/>
          <w:lang w:val="es-ES"/>
        </w:rPr>
        <w:t>go</w:t>
      </w:r>
      <w:r w:rsidR="00C9451A" w:rsidRPr="00C9451A">
        <w:rPr>
          <w:spacing w:val="4"/>
          <w:szCs w:val="26"/>
          <w:lang w:val="es-ES"/>
        </w:rPr>
        <w:t>.</w:t>
      </w:r>
    </w:p>
    <w:p w:rsidR="00643EB3" w:rsidRPr="0019759C" w:rsidRDefault="00FA7C3C" w:rsidP="006256FE">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pacing w:val="2"/>
          <w:szCs w:val="26"/>
          <w:lang w:val="es-ES"/>
        </w:rPr>
      </w:pPr>
      <w:r w:rsidRPr="0019759C">
        <w:rPr>
          <w:spacing w:val="2"/>
          <w:szCs w:val="26"/>
          <w:lang w:val="es-ES"/>
        </w:rPr>
        <w:t>Cumplimiento de los calendarios de a</w:t>
      </w:r>
      <w:r w:rsidR="00643EB3" w:rsidRPr="0019759C">
        <w:rPr>
          <w:spacing w:val="2"/>
          <w:szCs w:val="26"/>
          <w:lang w:val="es-ES"/>
        </w:rPr>
        <w:t>plazamiento y fraccionamiento del pago</w:t>
      </w:r>
      <w:r w:rsidR="00C9451A" w:rsidRPr="0019759C">
        <w:rPr>
          <w:spacing w:val="2"/>
          <w:szCs w:val="26"/>
          <w:lang w:val="es-ES"/>
        </w:rPr>
        <w:t>.</w:t>
      </w:r>
    </w:p>
    <w:p w:rsidR="00304181" w:rsidRPr="00C9451A" w:rsidRDefault="00643EB3" w:rsidP="006256FE">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pacing w:val="4"/>
          <w:szCs w:val="26"/>
          <w:lang w:val="es-ES"/>
        </w:rPr>
      </w:pPr>
      <w:r w:rsidRPr="00C9451A">
        <w:rPr>
          <w:spacing w:val="4"/>
          <w:szCs w:val="26"/>
          <w:lang w:val="es-ES"/>
        </w:rPr>
        <w:t>Prescripción</w:t>
      </w:r>
      <w:r w:rsidR="00C9451A" w:rsidRPr="00C9451A">
        <w:rPr>
          <w:spacing w:val="4"/>
          <w:szCs w:val="26"/>
          <w:lang w:val="es-ES"/>
        </w:rPr>
        <w:t>.</w:t>
      </w:r>
      <w:r w:rsidR="00304181" w:rsidRPr="00C9451A">
        <w:rPr>
          <w:spacing w:val="4"/>
          <w:szCs w:val="26"/>
          <w:lang w:val="es-ES"/>
        </w:rPr>
        <w:t xml:space="preserve"> </w:t>
      </w:r>
    </w:p>
    <w:p w:rsidR="006A2986" w:rsidRPr="00C9451A" w:rsidRDefault="006A2986" w:rsidP="006256FE">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pacing w:val="4"/>
          <w:szCs w:val="26"/>
          <w:lang w:val="es-ES"/>
        </w:rPr>
      </w:pPr>
      <w:r w:rsidRPr="00C9451A">
        <w:rPr>
          <w:spacing w:val="4"/>
          <w:szCs w:val="26"/>
          <w:lang w:val="es-ES"/>
        </w:rPr>
        <w:t>Compensación</w:t>
      </w:r>
      <w:r w:rsidR="00C9451A" w:rsidRPr="00C9451A">
        <w:rPr>
          <w:spacing w:val="4"/>
          <w:szCs w:val="26"/>
          <w:lang w:val="es-ES"/>
        </w:rPr>
        <w:t>.</w:t>
      </w:r>
    </w:p>
    <w:p w:rsidR="00304181" w:rsidRPr="00C9451A" w:rsidRDefault="00304181" w:rsidP="006256FE">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pacing w:val="4"/>
          <w:szCs w:val="26"/>
          <w:lang w:val="es-ES"/>
        </w:rPr>
      </w:pPr>
      <w:r w:rsidRPr="00C9451A">
        <w:rPr>
          <w:spacing w:val="4"/>
          <w:szCs w:val="26"/>
          <w:lang w:val="es-ES"/>
        </w:rPr>
        <w:t>Condonación</w:t>
      </w:r>
      <w:r w:rsidR="00C9451A" w:rsidRPr="00C9451A">
        <w:rPr>
          <w:spacing w:val="4"/>
          <w:szCs w:val="26"/>
          <w:lang w:val="es-ES"/>
        </w:rPr>
        <w:t>.</w:t>
      </w:r>
    </w:p>
    <w:p w:rsidR="00643EB3" w:rsidRPr="00C9451A" w:rsidRDefault="00304181" w:rsidP="006256FE">
      <w:pPr>
        <w:pStyle w:val="texto"/>
        <w:numPr>
          <w:ilvl w:val="0"/>
          <w:numId w:val="1"/>
        </w:numPr>
        <w:tabs>
          <w:tab w:val="clear" w:pos="2835"/>
          <w:tab w:val="clear" w:pos="3969"/>
          <w:tab w:val="clear" w:pos="5103"/>
          <w:tab w:val="clear" w:pos="6237"/>
          <w:tab w:val="clear" w:pos="7371"/>
          <w:tab w:val="num" w:pos="300"/>
          <w:tab w:val="left" w:pos="480"/>
          <w:tab w:val="num" w:pos="720"/>
          <w:tab w:val="num" w:pos="6597"/>
        </w:tabs>
        <w:ind w:left="0" w:firstLine="290"/>
        <w:rPr>
          <w:szCs w:val="26"/>
          <w:lang w:val="es-ES"/>
        </w:rPr>
      </w:pPr>
      <w:r w:rsidRPr="00C9451A">
        <w:rPr>
          <w:spacing w:val="4"/>
          <w:szCs w:val="26"/>
          <w:lang w:val="es-ES"/>
        </w:rPr>
        <w:t>Insol</w:t>
      </w:r>
      <w:r w:rsidRPr="00C9451A">
        <w:rPr>
          <w:szCs w:val="26"/>
          <w:lang w:val="es-ES"/>
        </w:rPr>
        <w:t>vencia probada</w:t>
      </w:r>
      <w:r w:rsidR="00C9451A" w:rsidRPr="00C9451A">
        <w:rPr>
          <w:szCs w:val="26"/>
          <w:lang w:val="es-ES"/>
        </w:rPr>
        <w:t>.</w:t>
      </w:r>
      <w:r w:rsidRPr="00C9451A">
        <w:rPr>
          <w:szCs w:val="26"/>
          <w:lang w:val="es-ES"/>
        </w:rPr>
        <w:t xml:space="preserve"> </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 xml:space="preserve">La </w:t>
      </w:r>
      <w:hyperlink r:id="rId14" w:history="1">
        <w:r w:rsidRPr="00A63248">
          <w:rPr>
            <w:b/>
            <w:szCs w:val="26"/>
          </w:rPr>
          <w:t>prescripción</w:t>
        </w:r>
      </w:hyperlink>
      <w:r w:rsidRPr="00A63248">
        <w:rPr>
          <w:szCs w:val="26"/>
        </w:rPr>
        <w:t xml:space="preserve"> extingue la </w:t>
      </w:r>
      <w:hyperlink r:id="rId15" w:history="1">
        <w:r w:rsidRPr="00A63248">
          <w:rPr>
            <w:szCs w:val="26"/>
          </w:rPr>
          <w:t>deuda tributaria</w:t>
        </w:r>
      </w:hyperlink>
      <w:r w:rsidRPr="00A63248">
        <w:rPr>
          <w:szCs w:val="26"/>
        </w:rPr>
        <w:t xml:space="preserve"> por el mero transcurso del tiempo. Para determinar tal transcurso debemos distinguir dos situaciones, en función de la propia naturaleza de la deuda:</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a) Deuda tributaria. De acuerdo con la Ley Foral 13/2000, General Tribut</w:t>
      </w:r>
      <w:r w:rsidRPr="00A63248">
        <w:rPr>
          <w:szCs w:val="26"/>
        </w:rPr>
        <w:t>a</w:t>
      </w:r>
      <w:r w:rsidRPr="00A63248">
        <w:rPr>
          <w:szCs w:val="26"/>
        </w:rPr>
        <w:t>ria, prescriben a los cuatro años el derecho a favor de la Administración Foral para practicar la liquidación, el cobro, la imposición de sanciones tributarias y el derecho a la devolución de ingresos indebidos.</w:t>
      </w:r>
    </w:p>
    <w:p w:rsidR="00643EB3" w:rsidRPr="00A63248" w:rsidRDefault="00643EB3" w:rsidP="00643EB3">
      <w:pPr>
        <w:pStyle w:val="texto"/>
        <w:tabs>
          <w:tab w:val="clear" w:pos="2835"/>
          <w:tab w:val="clear" w:pos="3969"/>
          <w:tab w:val="clear" w:pos="5103"/>
          <w:tab w:val="clear" w:pos="6237"/>
          <w:tab w:val="clear" w:pos="7371"/>
        </w:tabs>
        <w:rPr>
          <w:szCs w:val="26"/>
          <w:lang w:val="es-ES" w:eastAsia="es-ES"/>
        </w:rPr>
      </w:pPr>
      <w:r w:rsidRPr="00A63248">
        <w:rPr>
          <w:szCs w:val="26"/>
        </w:rPr>
        <w:t>b) Deudas de derecho público no tributarias. Con carácter general, prescribe a los cuatro años el reconocimiento, liquidación y cobro de estas deudas. No obstante, las leyes específicas reguladores de distintos ingresos de esta natur</w:t>
      </w:r>
      <w:r w:rsidRPr="00A63248">
        <w:rPr>
          <w:szCs w:val="26"/>
        </w:rPr>
        <w:t>a</w:t>
      </w:r>
      <w:r w:rsidRPr="00A63248">
        <w:rPr>
          <w:szCs w:val="26"/>
        </w:rPr>
        <w:t>leza fijan otros plazos de prescripción</w:t>
      </w:r>
      <w:r w:rsidR="00EA3D71" w:rsidRPr="00A63248">
        <w:rPr>
          <w:szCs w:val="26"/>
        </w:rPr>
        <w:t xml:space="preserve">, </w:t>
      </w:r>
      <w:r w:rsidRPr="00A63248">
        <w:rPr>
          <w:szCs w:val="26"/>
        </w:rPr>
        <w:t>desde seis meses hasta los citados cuatro años</w:t>
      </w:r>
      <w:r w:rsidR="00EA3D71" w:rsidRPr="00A63248">
        <w:rPr>
          <w:szCs w:val="26"/>
        </w:rPr>
        <w:t>.</w:t>
      </w:r>
    </w:p>
    <w:p w:rsidR="00643EB3" w:rsidRPr="00A63248" w:rsidRDefault="00FA7C3C" w:rsidP="00274D80">
      <w:pPr>
        <w:pStyle w:val="texto"/>
        <w:tabs>
          <w:tab w:val="clear" w:pos="2835"/>
          <w:tab w:val="clear" w:pos="3969"/>
          <w:tab w:val="clear" w:pos="5103"/>
          <w:tab w:val="clear" w:pos="6237"/>
          <w:tab w:val="clear" w:pos="7371"/>
        </w:tabs>
        <w:rPr>
          <w:szCs w:val="26"/>
        </w:rPr>
      </w:pPr>
      <w:r>
        <w:rPr>
          <w:szCs w:val="26"/>
        </w:rPr>
        <w:t>En relación al derecho de cobro de las deudas,</w:t>
      </w:r>
      <w:r w:rsidR="00643EB3" w:rsidRPr="00A63248">
        <w:rPr>
          <w:szCs w:val="26"/>
        </w:rPr>
        <w:t xml:space="preserve"> el plazo de cómputo de la prescripción comenzará a contarse</w:t>
      </w:r>
      <w:r w:rsidR="00804553">
        <w:rPr>
          <w:szCs w:val="26"/>
        </w:rPr>
        <w:t xml:space="preserve"> desde</w:t>
      </w:r>
      <w:r w:rsidR="00804553" w:rsidRPr="00804553">
        <w:rPr>
          <w:szCs w:val="26"/>
        </w:rPr>
        <w:t xml:space="preserve"> </w:t>
      </w:r>
      <w:r w:rsidR="00804553" w:rsidRPr="00A63248">
        <w:rPr>
          <w:szCs w:val="26"/>
        </w:rPr>
        <w:t>la fecha en que finalice el plazo de pago voluntario.</w:t>
      </w:r>
      <w:r w:rsidR="00274D80">
        <w:rPr>
          <w:szCs w:val="26"/>
        </w:rPr>
        <w:t xml:space="preserve"> Dicho plazo </w:t>
      </w:r>
      <w:r w:rsidR="00804553">
        <w:rPr>
          <w:szCs w:val="26"/>
        </w:rPr>
        <w:t>se interrumpirá</w:t>
      </w:r>
      <w:r w:rsidR="00643EB3" w:rsidRPr="00A63248">
        <w:rPr>
          <w:szCs w:val="26"/>
        </w:rPr>
        <w:t>:</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a) Por cualquier actuación del obligado al pago conducente a la extinción de la deuda.</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b) Por cualquier acción administrativa realizada con conocimiento formal del obligado al pago encaminada a la recaudación o aseguramiento de la deuda. E</w:t>
      </w:r>
      <w:r w:rsidRPr="00A63248">
        <w:rPr>
          <w:szCs w:val="26"/>
        </w:rPr>
        <w:t>s</w:t>
      </w:r>
      <w:r w:rsidRPr="00A63248">
        <w:rPr>
          <w:szCs w:val="26"/>
        </w:rPr>
        <w:t>tas actuaciones deben de estar debidamente documentadas.</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c) Por la interposición de reclamaciones o recursos de cualquier clase.</w:t>
      </w:r>
    </w:p>
    <w:p w:rsidR="00643EB3" w:rsidRDefault="00643EB3" w:rsidP="00643EB3">
      <w:pPr>
        <w:pStyle w:val="texto"/>
        <w:tabs>
          <w:tab w:val="clear" w:pos="2835"/>
          <w:tab w:val="clear" w:pos="3969"/>
          <w:tab w:val="clear" w:pos="5103"/>
          <w:tab w:val="clear" w:pos="6237"/>
          <w:tab w:val="clear" w:pos="7371"/>
        </w:tabs>
        <w:rPr>
          <w:szCs w:val="26"/>
        </w:rPr>
      </w:pPr>
      <w:r w:rsidRPr="00A63248">
        <w:rPr>
          <w:szCs w:val="26"/>
        </w:rPr>
        <w:t>Producida la interrupción, se iniciará de nuevo el cómputo de plazos de pre</w:t>
      </w:r>
      <w:r w:rsidRPr="00A63248">
        <w:rPr>
          <w:szCs w:val="26"/>
        </w:rPr>
        <w:t>s</w:t>
      </w:r>
      <w:r w:rsidRPr="00A63248">
        <w:rPr>
          <w:szCs w:val="26"/>
        </w:rPr>
        <w:t>cripción a partir de la fecha de la última actuación del obligado al pago a la Administración.</w:t>
      </w:r>
    </w:p>
    <w:p w:rsidR="002803B0" w:rsidRDefault="002803B0" w:rsidP="00643EB3">
      <w:pPr>
        <w:pStyle w:val="texto"/>
        <w:tabs>
          <w:tab w:val="clear" w:pos="2835"/>
          <w:tab w:val="clear" w:pos="3969"/>
          <w:tab w:val="clear" w:pos="5103"/>
          <w:tab w:val="clear" w:pos="6237"/>
          <w:tab w:val="clear" w:pos="7371"/>
        </w:tabs>
        <w:rPr>
          <w:szCs w:val="26"/>
        </w:rPr>
      </w:pPr>
    </w:p>
    <w:p w:rsidR="002803B0" w:rsidRPr="00A63248" w:rsidRDefault="002803B0" w:rsidP="00643EB3">
      <w:pPr>
        <w:pStyle w:val="texto"/>
        <w:tabs>
          <w:tab w:val="clear" w:pos="2835"/>
          <w:tab w:val="clear" w:pos="3969"/>
          <w:tab w:val="clear" w:pos="5103"/>
          <w:tab w:val="clear" w:pos="6237"/>
          <w:tab w:val="clear" w:pos="7371"/>
        </w:tabs>
        <w:rPr>
          <w:szCs w:val="26"/>
        </w:rPr>
      </w:pPr>
    </w:p>
    <w:p w:rsidR="00643EB3" w:rsidRPr="00A63248" w:rsidRDefault="00643EB3" w:rsidP="00352E7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lastRenderedPageBreak/>
        <w:t>La aplicación de la prescripción puede realizarse por dos vías:</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a) Individualmente</w:t>
      </w:r>
      <w:r w:rsidR="005269D3" w:rsidRPr="00A63248">
        <w:rPr>
          <w:szCs w:val="26"/>
        </w:rPr>
        <w:t xml:space="preserve"> a</w:t>
      </w:r>
      <w:r w:rsidRPr="00A63248">
        <w:rPr>
          <w:szCs w:val="26"/>
        </w:rPr>
        <w:t xml:space="preserve"> instancia de</w:t>
      </w:r>
      <w:r w:rsidR="005269D3" w:rsidRPr="00A63248">
        <w:rPr>
          <w:szCs w:val="26"/>
        </w:rPr>
        <w:t>l deudor, por resolución del servicio de R</w:t>
      </w:r>
      <w:r w:rsidR="005269D3" w:rsidRPr="00A63248">
        <w:rPr>
          <w:szCs w:val="26"/>
        </w:rPr>
        <w:t>e</w:t>
      </w:r>
      <w:r w:rsidR="005269D3" w:rsidRPr="00A63248">
        <w:rPr>
          <w:szCs w:val="26"/>
        </w:rPr>
        <w:t>caudación,</w:t>
      </w:r>
      <w:r w:rsidRPr="00A63248">
        <w:rPr>
          <w:szCs w:val="26"/>
        </w:rPr>
        <w:t xml:space="preserve"> por resoluciones del Tribunal Económico-Administrativo o por se</w:t>
      </w:r>
      <w:r w:rsidRPr="00A63248">
        <w:rPr>
          <w:szCs w:val="26"/>
        </w:rPr>
        <w:t>n</w:t>
      </w:r>
      <w:r w:rsidRPr="00A63248">
        <w:rPr>
          <w:szCs w:val="26"/>
        </w:rPr>
        <w:t>tencias de lo contencioso-administrativo.</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b) De oficio por la Hacienda Tributaria de Navarra (HTN) a propuesta del Servicio de Recaudación, mediante la formulación de expedientes colectivos para declarar la prescripción de todas aquellas deudas prescritas en el año que no hayan sido declaradas individualmente. Estos expedientes, que son la fórm</w:t>
      </w:r>
      <w:r w:rsidRPr="00A63248">
        <w:rPr>
          <w:szCs w:val="26"/>
        </w:rPr>
        <w:t>u</w:t>
      </w:r>
      <w:r w:rsidRPr="00A63248">
        <w:rPr>
          <w:szCs w:val="26"/>
        </w:rPr>
        <w:t xml:space="preserve">la habitualmente utilizada por la Administración para dar de baja las deudas, serán aprobados por el </w:t>
      </w:r>
      <w:r w:rsidR="007A2F8F">
        <w:rPr>
          <w:szCs w:val="26"/>
        </w:rPr>
        <w:t>director g</w:t>
      </w:r>
      <w:r w:rsidRPr="00A63248">
        <w:rPr>
          <w:szCs w:val="26"/>
        </w:rPr>
        <w:t>erente de la HTN, previa fiscalización del ó</w:t>
      </w:r>
      <w:r w:rsidRPr="00A63248">
        <w:rPr>
          <w:szCs w:val="26"/>
        </w:rPr>
        <w:t>r</w:t>
      </w:r>
      <w:r w:rsidRPr="00A63248">
        <w:rPr>
          <w:szCs w:val="26"/>
        </w:rPr>
        <w:t>gano interventor.</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Una vez declarada la prescripción, las deudas correspondientes serán dadas de baja en la contabilidad con signo negativo.</w:t>
      </w:r>
    </w:p>
    <w:p w:rsidR="00643EB3" w:rsidRPr="00A63248" w:rsidRDefault="00643EB3" w:rsidP="00EA3D7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En cuanto a sus efectos y extensión, la prescripción extingue la deuda al obligado al pago de la misma. Sobre quién es el obligado al pago, la normativa señala dos categorías:</w:t>
      </w:r>
    </w:p>
    <w:p w:rsidR="00643EB3" w:rsidRPr="00A63248" w:rsidRDefault="00643EB3" w:rsidP="00643EB3">
      <w:pPr>
        <w:pStyle w:val="texto"/>
        <w:tabs>
          <w:tab w:val="clear" w:pos="2835"/>
          <w:tab w:val="clear" w:pos="3969"/>
          <w:tab w:val="clear" w:pos="5103"/>
          <w:tab w:val="clear" w:pos="6237"/>
          <w:tab w:val="clear" w:pos="7371"/>
          <w:tab w:val="num" w:pos="720"/>
        </w:tabs>
        <w:rPr>
          <w:szCs w:val="26"/>
        </w:rPr>
      </w:pPr>
      <w:r w:rsidRPr="00A63248">
        <w:rPr>
          <w:szCs w:val="26"/>
        </w:rPr>
        <w:t>a) El deudor principal.</w:t>
      </w:r>
    </w:p>
    <w:p w:rsidR="00643EB3" w:rsidRPr="00A63248" w:rsidRDefault="00643EB3" w:rsidP="00643EB3">
      <w:pPr>
        <w:pStyle w:val="texto"/>
        <w:tabs>
          <w:tab w:val="clear" w:pos="2835"/>
          <w:tab w:val="clear" w:pos="3969"/>
          <w:tab w:val="clear" w:pos="5103"/>
          <w:tab w:val="clear" w:pos="6237"/>
          <w:tab w:val="clear" w:pos="7371"/>
          <w:tab w:val="num" w:pos="720"/>
        </w:tabs>
        <w:rPr>
          <w:szCs w:val="26"/>
        </w:rPr>
      </w:pPr>
      <w:r w:rsidRPr="00A63248">
        <w:rPr>
          <w:szCs w:val="26"/>
        </w:rPr>
        <w:t>b) Otros obligados tributarios.</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El deudor principal es el sujeto pasivo de los tributos, lo sea como contrib</w:t>
      </w:r>
      <w:r w:rsidRPr="00A63248">
        <w:rPr>
          <w:szCs w:val="26"/>
        </w:rPr>
        <w:t>u</w:t>
      </w:r>
      <w:r w:rsidRPr="00A63248">
        <w:rPr>
          <w:szCs w:val="26"/>
        </w:rPr>
        <w:t>yente, sustituto, retenedor u obligado a ingresar en cuenta a quien se haya not</w:t>
      </w:r>
      <w:r w:rsidRPr="00A63248">
        <w:rPr>
          <w:szCs w:val="26"/>
        </w:rPr>
        <w:t>i</w:t>
      </w:r>
      <w:r w:rsidRPr="00A63248">
        <w:rPr>
          <w:szCs w:val="26"/>
        </w:rPr>
        <w:t>ficado reglamentariamente la correspondiente liquidación o que por precepto legal debe autoliquidar aquélla e ingresar su importe en la HTN. Así mismo los sujetos infractores, por las sanciones impuestas.</w:t>
      </w:r>
    </w:p>
    <w:p w:rsidR="00643EB3" w:rsidRPr="00A63248" w:rsidRDefault="00643EB3" w:rsidP="00643EB3">
      <w:pPr>
        <w:pStyle w:val="texto"/>
        <w:tabs>
          <w:tab w:val="clear" w:pos="2835"/>
          <w:tab w:val="clear" w:pos="3969"/>
          <w:tab w:val="clear" w:pos="5103"/>
          <w:tab w:val="clear" w:pos="6237"/>
          <w:tab w:val="clear" w:pos="7371"/>
        </w:tabs>
        <w:rPr>
          <w:szCs w:val="26"/>
        </w:rPr>
      </w:pPr>
      <w:r w:rsidRPr="00A63248">
        <w:rPr>
          <w:szCs w:val="26"/>
        </w:rPr>
        <w:t>La figura de la derivación de responsabilidad permite dirigir el procedimie</w:t>
      </w:r>
      <w:r w:rsidRPr="00A63248">
        <w:rPr>
          <w:szCs w:val="26"/>
        </w:rPr>
        <w:t>n</w:t>
      </w:r>
      <w:r w:rsidRPr="00A63248">
        <w:rPr>
          <w:szCs w:val="26"/>
        </w:rPr>
        <w:t>to recaudatorio a otros obligados tributarios distintos del deudor principal. La situación del nuevo responsable no es idéntica a la del citado deudor principal, pues él no ha realizado el hecho imponible y su obligación nace cuando se dan las circunstancias previstas legalmente para cada supuesto de responsabilidad.</w:t>
      </w:r>
    </w:p>
    <w:p w:rsidR="00643EB3" w:rsidRPr="00A63248" w:rsidRDefault="00643EB3" w:rsidP="00EA3D71">
      <w:pPr>
        <w:pStyle w:val="texto"/>
        <w:tabs>
          <w:tab w:val="clear" w:pos="2835"/>
          <w:tab w:val="clear" w:pos="3969"/>
          <w:tab w:val="clear" w:pos="5103"/>
          <w:tab w:val="clear" w:pos="6237"/>
          <w:tab w:val="clear" w:pos="7371"/>
        </w:tabs>
        <w:rPr>
          <w:szCs w:val="26"/>
        </w:rPr>
      </w:pPr>
      <w:r w:rsidRPr="00A63248">
        <w:rPr>
          <w:szCs w:val="26"/>
        </w:rPr>
        <w:t>La normativa regula dos formas de derivación de responsabilidades: solid</w:t>
      </w:r>
      <w:r w:rsidRPr="00A63248">
        <w:rPr>
          <w:szCs w:val="26"/>
        </w:rPr>
        <w:t>a</w:t>
      </w:r>
      <w:r w:rsidRPr="00A63248">
        <w:rPr>
          <w:szCs w:val="26"/>
        </w:rPr>
        <w:t>ria y subsidiaria. La presunción legal es la de subsidiariedad.</w:t>
      </w:r>
    </w:p>
    <w:p w:rsidR="00643EB3" w:rsidRPr="00A63248" w:rsidRDefault="00643EB3" w:rsidP="00EA3D71">
      <w:pPr>
        <w:pStyle w:val="texto"/>
        <w:tabs>
          <w:tab w:val="clear" w:pos="2835"/>
          <w:tab w:val="clear" w:pos="3969"/>
          <w:tab w:val="clear" w:pos="5103"/>
          <w:tab w:val="clear" w:pos="6237"/>
          <w:tab w:val="clear" w:pos="7371"/>
        </w:tabs>
        <w:rPr>
          <w:szCs w:val="26"/>
        </w:rPr>
      </w:pPr>
      <w:r w:rsidRPr="00A63248">
        <w:rPr>
          <w:szCs w:val="26"/>
        </w:rPr>
        <w:t>a) Los responsables solidarios. Puede derivarse en cualquier momento de la gestión de cobro del vencimiento de la deuda, tanto si está en periodo volunt</w:t>
      </w:r>
      <w:r w:rsidRPr="00A63248">
        <w:rPr>
          <w:szCs w:val="26"/>
        </w:rPr>
        <w:t>a</w:t>
      </w:r>
      <w:r w:rsidRPr="00A63248">
        <w:rPr>
          <w:szCs w:val="26"/>
        </w:rPr>
        <w:t>rio como en fase ejecutiva (apremio o embargo).</w:t>
      </w:r>
    </w:p>
    <w:p w:rsidR="00643EB3" w:rsidRPr="00A63248" w:rsidRDefault="00643EB3" w:rsidP="00EA3D71">
      <w:pPr>
        <w:pStyle w:val="texto"/>
        <w:tabs>
          <w:tab w:val="clear" w:pos="2835"/>
          <w:tab w:val="clear" w:pos="3969"/>
          <w:tab w:val="clear" w:pos="5103"/>
          <w:tab w:val="clear" w:pos="6237"/>
          <w:tab w:val="clear" w:pos="7371"/>
        </w:tabs>
        <w:rPr>
          <w:szCs w:val="26"/>
        </w:rPr>
      </w:pPr>
      <w:r w:rsidRPr="00A63248">
        <w:rPr>
          <w:szCs w:val="26"/>
        </w:rPr>
        <w:t xml:space="preserve">b) Los responsables subsidiarios. Esta derivación </w:t>
      </w:r>
      <w:r w:rsidR="00804553">
        <w:rPr>
          <w:szCs w:val="26"/>
        </w:rPr>
        <w:t>se realizará</w:t>
      </w:r>
      <w:r w:rsidRPr="00A63248">
        <w:rPr>
          <w:szCs w:val="26"/>
        </w:rPr>
        <w:t xml:space="preserve"> previa declar</w:t>
      </w:r>
      <w:r w:rsidRPr="00A63248">
        <w:rPr>
          <w:szCs w:val="26"/>
        </w:rPr>
        <w:t>a</w:t>
      </w:r>
      <w:r w:rsidRPr="00A63248">
        <w:rPr>
          <w:szCs w:val="26"/>
        </w:rPr>
        <w:t>ción de fallido del deudor principal y de los solidarios, en su caso</w:t>
      </w:r>
      <w:r w:rsidR="00274D80">
        <w:rPr>
          <w:szCs w:val="26"/>
        </w:rPr>
        <w:t>; es decir,</w:t>
      </w:r>
      <w:r w:rsidR="00804553">
        <w:rPr>
          <w:szCs w:val="26"/>
        </w:rPr>
        <w:t xml:space="preserve"> una vez agotado </w:t>
      </w:r>
      <w:r w:rsidR="00274D80">
        <w:rPr>
          <w:szCs w:val="26"/>
        </w:rPr>
        <w:t xml:space="preserve">todo </w:t>
      </w:r>
      <w:r w:rsidR="00804553">
        <w:rPr>
          <w:szCs w:val="26"/>
        </w:rPr>
        <w:t>el procedimiento de apremio frente a</w:t>
      </w:r>
      <w:r w:rsidR="00274D80">
        <w:rPr>
          <w:szCs w:val="26"/>
        </w:rPr>
        <w:t xml:space="preserve"> los citados deudores, principal y solidarios</w:t>
      </w:r>
      <w:r w:rsidR="00804553">
        <w:rPr>
          <w:szCs w:val="26"/>
        </w:rPr>
        <w:t>.</w:t>
      </w:r>
    </w:p>
    <w:p w:rsidR="00643EB3" w:rsidRPr="00A63248" w:rsidRDefault="00643EB3" w:rsidP="00EA3D71">
      <w:pPr>
        <w:pStyle w:val="texto"/>
        <w:tabs>
          <w:tab w:val="clear" w:pos="2835"/>
          <w:tab w:val="clear" w:pos="3969"/>
          <w:tab w:val="clear" w:pos="5103"/>
          <w:tab w:val="clear" w:pos="6237"/>
          <w:tab w:val="clear" w:pos="7371"/>
        </w:tabs>
        <w:rPr>
          <w:szCs w:val="26"/>
        </w:rPr>
      </w:pPr>
      <w:r w:rsidRPr="00A63248">
        <w:rPr>
          <w:szCs w:val="26"/>
        </w:rPr>
        <w:lastRenderedPageBreak/>
        <w:t xml:space="preserve">Todos responderán al cumplimiento de sus obligaciones con todos sus bienes presentes y futuros, salvo las excepciones previstas en las leyes. </w:t>
      </w:r>
    </w:p>
    <w:p w:rsidR="00643EB3" w:rsidRPr="00A63248" w:rsidRDefault="00643EB3" w:rsidP="00EA3D71">
      <w:pPr>
        <w:pStyle w:val="texto"/>
        <w:tabs>
          <w:tab w:val="clear" w:pos="2835"/>
          <w:tab w:val="clear" w:pos="3969"/>
          <w:tab w:val="clear" w:pos="5103"/>
          <w:tab w:val="clear" w:pos="6237"/>
          <w:tab w:val="clear" w:pos="7371"/>
        </w:tabs>
        <w:rPr>
          <w:szCs w:val="26"/>
        </w:rPr>
      </w:pPr>
      <w:r w:rsidRPr="00A63248">
        <w:rPr>
          <w:szCs w:val="26"/>
        </w:rPr>
        <w:t>Los órganos de recaudación son los competentes para declarar la derivación de responsabilidad en el cumplimiento de las obligaciones tributarias. Esta d</w:t>
      </w:r>
      <w:r w:rsidRPr="00A63248">
        <w:rPr>
          <w:szCs w:val="26"/>
        </w:rPr>
        <w:t>e</w:t>
      </w:r>
      <w:r w:rsidRPr="00A63248">
        <w:rPr>
          <w:szCs w:val="26"/>
        </w:rPr>
        <w:t>rivación debe adoptarse por un acto administrativo en el que, previa audiencia al interesado, se declare la responsabilidad y se determine su alcance; este acto deberá ser notificado a los responsables y se hará mención, entre otros aspe</w:t>
      </w:r>
      <w:r w:rsidRPr="00A63248">
        <w:rPr>
          <w:szCs w:val="26"/>
        </w:rPr>
        <w:t>c</w:t>
      </w:r>
      <w:r w:rsidRPr="00A63248">
        <w:rPr>
          <w:szCs w:val="26"/>
        </w:rPr>
        <w:t>tos, de los elementos esenciales de la autoliquidación o liquidación administr</w:t>
      </w:r>
      <w:r w:rsidRPr="00A63248">
        <w:rPr>
          <w:szCs w:val="26"/>
        </w:rPr>
        <w:t>a</w:t>
      </w:r>
      <w:r w:rsidRPr="00A63248">
        <w:rPr>
          <w:szCs w:val="26"/>
        </w:rPr>
        <w:t>tiva generadora de la deuda cuya responsabilidad se deriva y de la apertura del periodo voluntario de pago; el importe derivado alcanzará la totalidad de la deuda liquidada o autoliquidada sin incluir las sanciones tributarias ni el reca</w:t>
      </w:r>
      <w:r w:rsidRPr="00A63248">
        <w:rPr>
          <w:szCs w:val="26"/>
        </w:rPr>
        <w:t>r</w:t>
      </w:r>
      <w:r w:rsidRPr="00A63248">
        <w:rPr>
          <w:szCs w:val="26"/>
        </w:rPr>
        <w:t xml:space="preserve">go de apremio. Una vez transcurrido el citado periodo voluntario de pago, </w:t>
      </w:r>
      <w:r w:rsidR="00804553">
        <w:rPr>
          <w:szCs w:val="26"/>
        </w:rPr>
        <w:t>se devengarán los recargos e intereses del periodo ejecutivo sobre el importe der</w:t>
      </w:r>
      <w:r w:rsidR="00804553">
        <w:rPr>
          <w:szCs w:val="26"/>
        </w:rPr>
        <w:t>i</w:t>
      </w:r>
      <w:r w:rsidR="00804553">
        <w:rPr>
          <w:szCs w:val="26"/>
        </w:rPr>
        <w:t xml:space="preserve">vado, siguiéndose para su cobro </w:t>
      </w:r>
      <w:r w:rsidRPr="00A63248">
        <w:rPr>
          <w:szCs w:val="26"/>
        </w:rPr>
        <w:t>el procedimiento de apremio.</w:t>
      </w:r>
    </w:p>
    <w:p w:rsidR="00643EB3" w:rsidRPr="00A63248" w:rsidRDefault="00643EB3" w:rsidP="00EA3D7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Para declarar una deuda como prescrita, los servicios de la HTN deben previamente:</w:t>
      </w:r>
    </w:p>
    <w:p w:rsidR="00643EB3" w:rsidRPr="00A63248" w:rsidRDefault="00643EB3" w:rsidP="00EA3D71">
      <w:pPr>
        <w:pStyle w:val="texto"/>
        <w:tabs>
          <w:tab w:val="clear" w:pos="2835"/>
          <w:tab w:val="clear" w:pos="3969"/>
          <w:tab w:val="clear" w:pos="5103"/>
          <w:tab w:val="clear" w:pos="6237"/>
          <w:tab w:val="clear" w:pos="7371"/>
        </w:tabs>
        <w:rPr>
          <w:szCs w:val="26"/>
        </w:rPr>
      </w:pPr>
      <w:r w:rsidRPr="00A63248">
        <w:rPr>
          <w:szCs w:val="26"/>
        </w:rPr>
        <w:t>a) Investigar si ha existido algún acto administrativo que hubiere interrump</w:t>
      </w:r>
      <w:r w:rsidRPr="00A63248">
        <w:rPr>
          <w:szCs w:val="26"/>
        </w:rPr>
        <w:t>i</w:t>
      </w:r>
      <w:r w:rsidRPr="00A63248">
        <w:rPr>
          <w:szCs w:val="26"/>
        </w:rPr>
        <w:t>do el plazo de prescripción.</w:t>
      </w:r>
    </w:p>
    <w:p w:rsidR="00643EB3" w:rsidRPr="00A63248" w:rsidRDefault="00643EB3" w:rsidP="00EA3D71">
      <w:pPr>
        <w:pStyle w:val="texto"/>
        <w:tabs>
          <w:tab w:val="clear" w:pos="2835"/>
          <w:tab w:val="clear" w:pos="3969"/>
          <w:tab w:val="clear" w:pos="5103"/>
          <w:tab w:val="clear" w:pos="6237"/>
          <w:tab w:val="clear" w:pos="7371"/>
        </w:tabs>
        <w:rPr>
          <w:szCs w:val="26"/>
        </w:rPr>
      </w:pPr>
      <w:r w:rsidRPr="00A63248">
        <w:rPr>
          <w:szCs w:val="26"/>
        </w:rPr>
        <w:t>b) Realizar</w:t>
      </w:r>
      <w:r w:rsidR="007F0634" w:rsidRPr="00A63248">
        <w:rPr>
          <w:szCs w:val="26"/>
        </w:rPr>
        <w:t>, debidamente documentadas,</w:t>
      </w:r>
      <w:r w:rsidRPr="00A63248">
        <w:rPr>
          <w:szCs w:val="26"/>
        </w:rPr>
        <w:t xml:space="preserve"> las gestiones oportunas para el c</w:t>
      </w:r>
      <w:r w:rsidRPr="00A63248">
        <w:rPr>
          <w:szCs w:val="26"/>
        </w:rPr>
        <w:t>o</w:t>
      </w:r>
      <w:r w:rsidRPr="00A63248">
        <w:rPr>
          <w:szCs w:val="26"/>
        </w:rPr>
        <w:t>bro de la deuda, verificando la existencia de bienes susceptibles de embargo y ejecución (inmuebles, cuentas corrientes, salarios, pensiones…), posible util</w:t>
      </w:r>
      <w:r w:rsidRPr="00A63248">
        <w:rPr>
          <w:szCs w:val="26"/>
        </w:rPr>
        <w:t>i</w:t>
      </w:r>
      <w:r w:rsidRPr="00A63248">
        <w:rPr>
          <w:szCs w:val="26"/>
        </w:rPr>
        <w:t>zación de la vía de la compensación o posibilidad de declarar responsables s</w:t>
      </w:r>
      <w:r w:rsidRPr="00A63248">
        <w:rPr>
          <w:szCs w:val="26"/>
        </w:rPr>
        <w:t>o</w:t>
      </w:r>
      <w:r w:rsidRPr="00A63248">
        <w:rPr>
          <w:szCs w:val="26"/>
        </w:rPr>
        <w:t>lidarios, subsidiarios o sucesores.</w:t>
      </w:r>
    </w:p>
    <w:p w:rsidR="007F0634" w:rsidRPr="00A63248" w:rsidRDefault="007F0634" w:rsidP="00EA3D71">
      <w:pPr>
        <w:pStyle w:val="texto"/>
        <w:tabs>
          <w:tab w:val="clear" w:pos="2835"/>
          <w:tab w:val="clear" w:pos="3969"/>
          <w:tab w:val="clear" w:pos="5103"/>
          <w:tab w:val="clear" w:pos="6237"/>
          <w:tab w:val="clear" w:pos="7371"/>
        </w:tabs>
        <w:rPr>
          <w:szCs w:val="26"/>
        </w:rPr>
      </w:pPr>
      <w:r w:rsidRPr="00A63248">
        <w:rPr>
          <w:szCs w:val="26"/>
        </w:rPr>
        <w:t>Respecto a la compensación, ésta puede realizarse contra cualquier pago de gasto presupuestario o contra créditos a favor del deudor</w:t>
      </w:r>
      <w:r w:rsidR="00804553">
        <w:rPr>
          <w:szCs w:val="26"/>
        </w:rPr>
        <w:t xml:space="preserve"> reconocidos por la HTN</w:t>
      </w:r>
      <w:r w:rsidRPr="00A63248">
        <w:rPr>
          <w:szCs w:val="26"/>
        </w:rPr>
        <w:t>.</w:t>
      </w:r>
    </w:p>
    <w:p w:rsidR="00A0311F" w:rsidRPr="006256FE" w:rsidRDefault="00643EB3" w:rsidP="00A0311F">
      <w:pPr>
        <w:pStyle w:val="texto"/>
        <w:tabs>
          <w:tab w:val="clear" w:pos="2835"/>
          <w:tab w:val="clear" w:pos="3969"/>
          <w:tab w:val="clear" w:pos="5103"/>
          <w:tab w:val="clear" w:pos="6237"/>
          <w:tab w:val="clear" w:pos="7371"/>
        </w:tabs>
        <w:rPr>
          <w:spacing w:val="2"/>
          <w:szCs w:val="26"/>
        </w:rPr>
      </w:pPr>
      <w:r w:rsidRPr="006256FE">
        <w:rPr>
          <w:spacing w:val="2"/>
          <w:szCs w:val="26"/>
        </w:rPr>
        <w:t>La prescripción puede alcanzar tanto a deudas no apremiadas como apremiadas.</w:t>
      </w:r>
    </w:p>
    <w:p w:rsidR="00643EB3" w:rsidRDefault="00643EB3" w:rsidP="00EA3D71">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Dentro del concepto de prescripción se incluye igualmente su aplicación a la devolución de ingresos indebidos. Así, la Ley Foral 13/2000, General Trib</w:t>
      </w:r>
      <w:r w:rsidRPr="00A63248">
        <w:rPr>
          <w:szCs w:val="26"/>
        </w:rPr>
        <w:t>u</w:t>
      </w:r>
      <w:r w:rsidRPr="00A63248">
        <w:rPr>
          <w:szCs w:val="26"/>
        </w:rPr>
        <w:t xml:space="preserve">taria fija también el plazo de cuatro años para la prescripción de estos ingresos indebidos, aplicándose de oficio, sin necesidad de que la invoque o excepcione el sujeto pasivo. Se realiza mediante informe del Servicio de Recaudación y por resolución del </w:t>
      </w:r>
      <w:r w:rsidR="007A2F8F">
        <w:rPr>
          <w:szCs w:val="26"/>
        </w:rPr>
        <w:t>d</w:t>
      </w:r>
      <w:r w:rsidRPr="00A63248">
        <w:rPr>
          <w:szCs w:val="26"/>
        </w:rPr>
        <w:t xml:space="preserve">irector </w:t>
      </w:r>
      <w:r w:rsidR="007A2F8F">
        <w:rPr>
          <w:szCs w:val="26"/>
        </w:rPr>
        <w:t>g</w:t>
      </w:r>
      <w:r w:rsidRPr="00A63248">
        <w:rPr>
          <w:szCs w:val="26"/>
        </w:rPr>
        <w:t>erente de la HTN, una vez verificado que no ha sido interrumpido dicho plazo de cuatro años por actuaciones fehacientes de los obligados tributarios que pretendieran la devolución de los importes indebid</w:t>
      </w:r>
      <w:r w:rsidRPr="00A63248">
        <w:rPr>
          <w:szCs w:val="26"/>
        </w:rPr>
        <w:t>a</w:t>
      </w:r>
      <w:r w:rsidRPr="00A63248">
        <w:rPr>
          <w:szCs w:val="26"/>
        </w:rPr>
        <w:t>mente ingresados. La naturaleza de los mismos es muy diversa: desde sente</w:t>
      </w:r>
      <w:r w:rsidRPr="00A63248">
        <w:rPr>
          <w:szCs w:val="26"/>
        </w:rPr>
        <w:t>n</w:t>
      </w:r>
      <w:r w:rsidRPr="00A63248">
        <w:rPr>
          <w:szCs w:val="26"/>
        </w:rPr>
        <w:t>cias y resoluciones, convenios sin efectos hasta errores y redondeos. Estos i</w:t>
      </w:r>
      <w:r w:rsidRPr="00A63248">
        <w:rPr>
          <w:szCs w:val="26"/>
        </w:rPr>
        <w:t>n</w:t>
      </w:r>
      <w:r w:rsidRPr="00A63248">
        <w:rPr>
          <w:szCs w:val="26"/>
        </w:rPr>
        <w:t>gresos indebidos se darán de baja en la contabilidad con signo positivo.</w:t>
      </w:r>
    </w:p>
    <w:p w:rsidR="002803B0" w:rsidRPr="00A63248" w:rsidRDefault="002803B0" w:rsidP="002803B0">
      <w:pPr>
        <w:pStyle w:val="texto"/>
        <w:tabs>
          <w:tab w:val="clear" w:pos="2835"/>
          <w:tab w:val="clear" w:pos="3969"/>
          <w:tab w:val="clear" w:pos="5103"/>
          <w:tab w:val="clear" w:pos="6237"/>
          <w:tab w:val="clear" w:pos="7371"/>
          <w:tab w:val="left" w:pos="480"/>
          <w:tab w:val="num" w:pos="4920"/>
        </w:tabs>
        <w:ind w:left="290" w:firstLine="0"/>
        <w:rPr>
          <w:szCs w:val="26"/>
        </w:rPr>
      </w:pPr>
    </w:p>
    <w:p w:rsidR="008A3F04" w:rsidRPr="00A63248" w:rsidRDefault="00643EB3" w:rsidP="000344EC">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lastRenderedPageBreak/>
        <w:t>Así mismo señalamos la importancia en los últimos años de las declaraci</w:t>
      </w:r>
      <w:r w:rsidRPr="00A63248">
        <w:rPr>
          <w:szCs w:val="26"/>
        </w:rPr>
        <w:t>o</w:t>
      </w:r>
      <w:r w:rsidRPr="00A63248">
        <w:rPr>
          <w:szCs w:val="26"/>
        </w:rPr>
        <w:t>nes de concurso de acreedores por empresas con deudas tributarias con la A</w:t>
      </w:r>
      <w:r w:rsidRPr="00A63248">
        <w:rPr>
          <w:szCs w:val="26"/>
        </w:rPr>
        <w:t>d</w:t>
      </w:r>
      <w:r w:rsidRPr="00A63248">
        <w:rPr>
          <w:szCs w:val="26"/>
        </w:rPr>
        <w:t>ministración. La gestión de estas deudas</w:t>
      </w:r>
      <w:r w:rsidR="00470A85" w:rsidRPr="00A63248">
        <w:rPr>
          <w:szCs w:val="26"/>
        </w:rPr>
        <w:t>, que suele resultar</w:t>
      </w:r>
      <w:r w:rsidR="007F0634" w:rsidRPr="00A63248">
        <w:rPr>
          <w:szCs w:val="26"/>
        </w:rPr>
        <w:t xml:space="preserve"> un p</w:t>
      </w:r>
      <w:r w:rsidR="00585263" w:rsidRPr="00A63248">
        <w:rPr>
          <w:szCs w:val="26"/>
        </w:rPr>
        <w:t>roceso</w:t>
      </w:r>
      <w:r w:rsidR="00470A85" w:rsidRPr="00A63248">
        <w:rPr>
          <w:szCs w:val="26"/>
        </w:rPr>
        <w:t xml:space="preserve"> largo y complejo,</w:t>
      </w:r>
      <w:r w:rsidRPr="00A63248">
        <w:rPr>
          <w:szCs w:val="26"/>
        </w:rPr>
        <w:t xml:space="preserve"> conlleva la realización de </w:t>
      </w:r>
      <w:r w:rsidR="00585263" w:rsidRPr="00A63248">
        <w:rPr>
          <w:szCs w:val="26"/>
        </w:rPr>
        <w:t>numerosas</w:t>
      </w:r>
      <w:r w:rsidRPr="00A63248">
        <w:rPr>
          <w:szCs w:val="26"/>
        </w:rPr>
        <w:t xml:space="preserve"> actuaciones de investigación y comprobación así como personarse la HTN en el correspondiente procedimie</w:t>
      </w:r>
      <w:r w:rsidRPr="00A63248">
        <w:rPr>
          <w:szCs w:val="26"/>
        </w:rPr>
        <w:t>n</w:t>
      </w:r>
      <w:r w:rsidRPr="00A63248">
        <w:rPr>
          <w:szCs w:val="26"/>
        </w:rPr>
        <w:t>to judicial.</w:t>
      </w:r>
    </w:p>
    <w:p w:rsidR="00F34B89" w:rsidRPr="00A63248" w:rsidRDefault="00F34B89" w:rsidP="00F34B8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Derechos económicos de baja cuantía. Al objeto de favorecer la gestión tributaria, el art</w:t>
      </w:r>
      <w:r w:rsidR="004E0480" w:rsidRPr="00A63248">
        <w:rPr>
          <w:szCs w:val="26"/>
        </w:rPr>
        <w:t>ículo</w:t>
      </w:r>
      <w:r w:rsidRPr="00A63248">
        <w:rPr>
          <w:szCs w:val="26"/>
        </w:rPr>
        <w:t xml:space="preserve"> 17 de la LFHP establece que “</w:t>
      </w:r>
      <w:r w:rsidRPr="00A63248">
        <w:rPr>
          <w:i/>
          <w:szCs w:val="26"/>
        </w:rPr>
        <w:t>El Consejero de Economía y Hacienda podrá disponer la no liquidación de deudas o, en su caso, la anul</w:t>
      </w:r>
      <w:r w:rsidRPr="00A63248">
        <w:rPr>
          <w:i/>
          <w:szCs w:val="26"/>
        </w:rPr>
        <w:t>a</w:t>
      </w:r>
      <w:r w:rsidRPr="00A63248">
        <w:rPr>
          <w:i/>
          <w:szCs w:val="26"/>
        </w:rPr>
        <w:t>ción y baja en contabilidad de todas aquellas liquidaciones de las que resulten deudas inferiores a la cuantía que fije como insuficiente para la cobertura del coste que su exacción y recaudación representen</w:t>
      </w:r>
      <w:r w:rsidRPr="00A63248">
        <w:rPr>
          <w:szCs w:val="26"/>
        </w:rPr>
        <w:t>”.</w:t>
      </w:r>
    </w:p>
    <w:p w:rsidR="00F34B89" w:rsidRPr="00A63248" w:rsidRDefault="00F34B89" w:rsidP="00F34B89">
      <w:pPr>
        <w:pStyle w:val="texto"/>
        <w:tabs>
          <w:tab w:val="clear" w:pos="2835"/>
          <w:tab w:val="clear" w:pos="3969"/>
          <w:tab w:val="clear" w:pos="5103"/>
          <w:tab w:val="clear" w:pos="6237"/>
          <w:tab w:val="clear" w:pos="7371"/>
        </w:tabs>
        <w:rPr>
          <w:szCs w:val="26"/>
        </w:rPr>
      </w:pPr>
      <w:r w:rsidRPr="00A63248">
        <w:rPr>
          <w:szCs w:val="26"/>
        </w:rPr>
        <w:t>Este artículo no ha sido desarrollado en el ámbito foral, lo que afecta</w:t>
      </w:r>
      <w:r w:rsidR="00072413" w:rsidRPr="00A63248">
        <w:rPr>
          <w:szCs w:val="26"/>
        </w:rPr>
        <w:t xml:space="preserve"> </w:t>
      </w:r>
      <w:r w:rsidRPr="00A63248">
        <w:rPr>
          <w:szCs w:val="26"/>
        </w:rPr>
        <w:t>de m</w:t>
      </w:r>
      <w:r w:rsidRPr="00A63248">
        <w:rPr>
          <w:szCs w:val="26"/>
        </w:rPr>
        <w:t>a</w:t>
      </w:r>
      <w:r w:rsidRPr="00A63248">
        <w:rPr>
          <w:szCs w:val="26"/>
        </w:rPr>
        <w:t>nera considerable a la gestión de deudas tributarias de escasa cuantía y, por e</w:t>
      </w:r>
      <w:r w:rsidRPr="00A63248">
        <w:rPr>
          <w:szCs w:val="26"/>
        </w:rPr>
        <w:t>n</w:t>
      </w:r>
      <w:r w:rsidRPr="00A63248">
        <w:rPr>
          <w:szCs w:val="26"/>
        </w:rPr>
        <w:t>de, a su prescripción.</w:t>
      </w:r>
    </w:p>
    <w:p w:rsidR="00F34B89" w:rsidRPr="00A63248" w:rsidRDefault="00F34B89" w:rsidP="00F34B89">
      <w:pPr>
        <w:pStyle w:val="texto"/>
        <w:tabs>
          <w:tab w:val="clear" w:pos="2835"/>
          <w:tab w:val="clear" w:pos="3969"/>
          <w:tab w:val="clear" w:pos="5103"/>
          <w:tab w:val="clear" w:pos="6237"/>
          <w:tab w:val="clear" w:pos="7371"/>
        </w:tabs>
        <w:rPr>
          <w:spacing w:val="4"/>
          <w:szCs w:val="26"/>
        </w:rPr>
      </w:pPr>
      <w:r w:rsidRPr="00A63248">
        <w:rPr>
          <w:spacing w:val="4"/>
          <w:szCs w:val="26"/>
        </w:rPr>
        <w:t>Al respecto señalamos la regulación vigente en el Estado que establece bás</w:t>
      </w:r>
      <w:r w:rsidRPr="00A63248">
        <w:rPr>
          <w:spacing w:val="4"/>
          <w:szCs w:val="26"/>
        </w:rPr>
        <w:t>i</w:t>
      </w:r>
      <w:r w:rsidRPr="00A63248">
        <w:rPr>
          <w:spacing w:val="4"/>
          <w:szCs w:val="26"/>
        </w:rPr>
        <w:t>camente:</w:t>
      </w:r>
    </w:p>
    <w:p w:rsidR="00F34B89" w:rsidRPr="00A63248" w:rsidRDefault="00F34B89" w:rsidP="00F34B89">
      <w:pPr>
        <w:pStyle w:val="texto"/>
        <w:tabs>
          <w:tab w:val="clear" w:pos="2835"/>
          <w:tab w:val="clear" w:pos="3969"/>
          <w:tab w:val="clear" w:pos="5103"/>
          <w:tab w:val="clear" w:pos="6237"/>
          <w:tab w:val="clear" w:pos="7371"/>
        </w:tabs>
        <w:rPr>
          <w:szCs w:val="26"/>
        </w:rPr>
      </w:pPr>
      <w:r w:rsidRPr="00A63248">
        <w:rPr>
          <w:szCs w:val="26"/>
        </w:rPr>
        <w:t>a) Se acordará la anulación y baja en contabilidad de todos aquellas liquid</w:t>
      </w:r>
      <w:r w:rsidRPr="00A63248">
        <w:rPr>
          <w:szCs w:val="26"/>
        </w:rPr>
        <w:t>a</w:t>
      </w:r>
      <w:r w:rsidRPr="00A63248">
        <w:rPr>
          <w:szCs w:val="26"/>
        </w:rPr>
        <w:t xml:space="preserve">ciones correspondientes a recursos de derecho público de la Hacienda Pública de las que resulte una deuda pendiente de recaudar por importe inferior a </w:t>
      </w:r>
      <w:r w:rsidR="00A77AD8" w:rsidRPr="00A63248">
        <w:rPr>
          <w:szCs w:val="26"/>
        </w:rPr>
        <w:t>tres</w:t>
      </w:r>
      <w:r w:rsidRPr="00A63248">
        <w:rPr>
          <w:szCs w:val="26"/>
        </w:rPr>
        <w:t xml:space="preserve"> euros. </w:t>
      </w:r>
    </w:p>
    <w:p w:rsidR="00F34B89" w:rsidRPr="00A63248" w:rsidRDefault="00F34B89" w:rsidP="00F34B89">
      <w:pPr>
        <w:pStyle w:val="texto"/>
        <w:tabs>
          <w:tab w:val="clear" w:pos="2835"/>
          <w:tab w:val="clear" w:pos="3969"/>
          <w:tab w:val="clear" w:pos="5103"/>
          <w:tab w:val="clear" w:pos="6237"/>
          <w:tab w:val="clear" w:pos="7371"/>
        </w:tabs>
        <w:rPr>
          <w:szCs w:val="26"/>
        </w:rPr>
      </w:pPr>
      <w:r w:rsidRPr="00A63248">
        <w:rPr>
          <w:szCs w:val="26"/>
        </w:rPr>
        <w:t>b) Lo anterior será aplicable igualmente para las deudas en gestión recaud</w:t>
      </w:r>
      <w:r w:rsidRPr="00A63248">
        <w:rPr>
          <w:szCs w:val="26"/>
        </w:rPr>
        <w:t>a</w:t>
      </w:r>
      <w:r w:rsidRPr="00A63248">
        <w:rPr>
          <w:szCs w:val="26"/>
        </w:rPr>
        <w:t xml:space="preserve">toria en periodo ejecutivo inferiores a </w:t>
      </w:r>
      <w:r w:rsidR="00A77AD8" w:rsidRPr="00A63248">
        <w:rPr>
          <w:szCs w:val="26"/>
        </w:rPr>
        <w:t>tres</w:t>
      </w:r>
      <w:r w:rsidRPr="00A63248">
        <w:rPr>
          <w:szCs w:val="26"/>
        </w:rPr>
        <w:t xml:space="preserve"> euros.</w:t>
      </w:r>
    </w:p>
    <w:p w:rsidR="00F34B89" w:rsidRPr="00A63248" w:rsidRDefault="00F34B89" w:rsidP="00F34B89">
      <w:pPr>
        <w:pStyle w:val="texto"/>
        <w:tabs>
          <w:tab w:val="clear" w:pos="2835"/>
          <w:tab w:val="clear" w:pos="3969"/>
          <w:tab w:val="clear" w:pos="5103"/>
          <w:tab w:val="clear" w:pos="6237"/>
          <w:tab w:val="clear" w:pos="7371"/>
        </w:tabs>
        <w:rPr>
          <w:szCs w:val="26"/>
        </w:rPr>
      </w:pPr>
      <w:r w:rsidRPr="00A63248">
        <w:rPr>
          <w:szCs w:val="26"/>
        </w:rPr>
        <w:t>c) No se practicará liquidación por intereses de demora del periodo ejecut</w:t>
      </w:r>
      <w:r w:rsidRPr="00A63248">
        <w:rPr>
          <w:szCs w:val="26"/>
        </w:rPr>
        <w:t>i</w:t>
      </w:r>
      <w:r w:rsidRPr="00A63248">
        <w:rPr>
          <w:szCs w:val="26"/>
        </w:rPr>
        <w:t>vo, cuando la cantidad resultante por este concepto sea inferior a 30 euros. Esta limitación no afectará a los intereses generados por aplazamie</w:t>
      </w:r>
      <w:r w:rsidRPr="00A63248">
        <w:rPr>
          <w:szCs w:val="26"/>
        </w:rPr>
        <w:t>n</w:t>
      </w:r>
      <w:r w:rsidRPr="00A63248">
        <w:rPr>
          <w:szCs w:val="26"/>
        </w:rPr>
        <w:t>to/fraccionamiento de pago.</w:t>
      </w:r>
    </w:p>
    <w:p w:rsidR="00F34B89" w:rsidRDefault="00F34B89" w:rsidP="00F34B89">
      <w:pPr>
        <w:pStyle w:val="texto"/>
        <w:tabs>
          <w:tab w:val="clear" w:pos="2835"/>
          <w:tab w:val="clear" w:pos="3969"/>
          <w:tab w:val="clear" w:pos="5103"/>
          <w:tab w:val="clear" w:pos="6237"/>
          <w:tab w:val="clear" w:pos="7371"/>
        </w:tabs>
        <w:rPr>
          <w:szCs w:val="26"/>
        </w:rPr>
      </w:pPr>
      <w:r w:rsidRPr="00A63248">
        <w:rPr>
          <w:szCs w:val="26"/>
        </w:rPr>
        <w:t>Se justifica esta regulación desde un punto de vista estrictamente económico, dado que dichas cuantías resultan insuficientes para la cobertura del coste que representa su exacción y recaudación.</w:t>
      </w:r>
    </w:p>
    <w:p w:rsidR="00804553" w:rsidRPr="00A63248" w:rsidRDefault="00804553" w:rsidP="00F34B89">
      <w:pPr>
        <w:pStyle w:val="texto"/>
        <w:tabs>
          <w:tab w:val="clear" w:pos="2835"/>
          <w:tab w:val="clear" w:pos="3969"/>
          <w:tab w:val="clear" w:pos="5103"/>
          <w:tab w:val="clear" w:pos="6237"/>
          <w:tab w:val="clear" w:pos="7371"/>
        </w:tabs>
        <w:rPr>
          <w:szCs w:val="26"/>
        </w:rPr>
      </w:pPr>
      <w:r>
        <w:rPr>
          <w:szCs w:val="26"/>
        </w:rPr>
        <w:t>A la fecha de redacción de este informe, se está tramitando desde la HTN una orden foral que desarroll</w:t>
      </w:r>
      <w:r w:rsidR="00274D80">
        <w:rPr>
          <w:szCs w:val="26"/>
        </w:rPr>
        <w:t>a</w:t>
      </w:r>
      <w:r>
        <w:rPr>
          <w:szCs w:val="26"/>
        </w:rPr>
        <w:t xml:space="preserve"> dicho artículo, estando prevista su entrada en v</w:t>
      </w:r>
      <w:r>
        <w:rPr>
          <w:szCs w:val="26"/>
        </w:rPr>
        <w:t>i</w:t>
      </w:r>
      <w:r>
        <w:rPr>
          <w:szCs w:val="26"/>
        </w:rPr>
        <w:t xml:space="preserve">gor </w:t>
      </w:r>
      <w:r w:rsidR="00274D80">
        <w:rPr>
          <w:szCs w:val="26"/>
        </w:rPr>
        <w:t>para</w:t>
      </w:r>
      <w:r>
        <w:rPr>
          <w:szCs w:val="26"/>
        </w:rPr>
        <w:t xml:space="preserve"> el ejercicio de 2017.</w:t>
      </w:r>
    </w:p>
    <w:p w:rsidR="00304181" w:rsidRPr="00A63248" w:rsidRDefault="00304181" w:rsidP="008A3F04">
      <w:pPr>
        <w:pStyle w:val="texto"/>
        <w:tabs>
          <w:tab w:val="clear" w:pos="2835"/>
          <w:tab w:val="clear" w:pos="3969"/>
          <w:tab w:val="clear" w:pos="5103"/>
          <w:tab w:val="clear" w:pos="6237"/>
          <w:tab w:val="clear" w:pos="7371"/>
        </w:tabs>
        <w:rPr>
          <w:spacing w:val="2"/>
          <w:szCs w:val="26"/>
        </w:rPr>
      </w:pPr>
      <w:r w:rsidRPr="00A63248">
        <w:rPr>
          <w:spacing w:val="2"/>
          <w:szCs w:val="26"/>
        </w:rPr>
        <w:t xml:space="preserve">Sobre </w:t>
      </w:r>
      <w:r w:rsidRPr="00A63248">
        <w:rPr>
          <w:b/>
          <w:spacing w:val="2"/>
          <w:szCs w:val="26"/>
        </w:rPr>
        <w:t>otras formas de extinción</w:t>
      </w:r>
      <w:r w:rsidRPr="00A63248">
        <w:rPr>
          <w:spacing w:val="2"/>
          <w:szCs w:val="26"/>
        </w:rPr>
        <w:t xml:space="preserve"> de la deuda que afecta a nuestro</w:t>
      </w:r>
      <w:r w:rsidR="00A25AB3" w:rsidRPr="00A63248">
        <w:rPr>
          <w:spacing w:val="2"/>
          <w:szCs w:val="26"/>
        </w:rPr>
        <w:t xml:space="preserve"> trabajo ind</w:t>
      </w:r>
      <w:r w:rsidR="00A25AB3" w:rsidRPr="00A63248">
        <w:rPr>
          <w:spacing w:val="2"/>
          <w:szCs w:val="26"/>
        </w:rPr>
        <w:t>i</w:t>
      </w:r>
      <w:r w:rsidR="00A25AB3" w:rsidRPr="00A63248">
        <w:rPr>
          <w:spacing w:val="2"/>
          <w:szCs w:val="26"/>
        </w:rPr>
        <w:t>camos</w:t>
      </w:r>
      <w:r w:rsidRPr="00A63248">
        <w:rPr>
          <w:spacing w:val="2"/>
          <w:szCs w:val="26"/>
        </w:rPr>
        <w:t>:</w:t>
      </w:r>
    </w:p>
    <w:p w:rsidR="00464B43" w:rsidRPr="00A63248" w:rsidRDefault="00464B43" w:rsidP="005269D3">
      <w:pPr>
        <w:pStyle w:val="texto"/>
        <w:tabs>
          <w:tab w:val="clear" w:pos="2835"/>
          <w:tab w:val="clear" w:pos="3969"/>
          <w:tab w:val="clear" w:pos="5103"/>
          <w:tab w:val="clear" w:pos="6237"/>
          <w:tab w:val="clear" w:pos="7371"/>
        </w:tabs>
        <w:rPr>
          <w:b/>
          <w:szCs w:val="26"/>
        </w:rPr>
      </w:pPr>
      <w:r w:rsidRPr="00A63248">
        <w:rPr>
          <w:b/>
          <w:szCs w:val="26"/>
        </w:rPr>
        <w:t xml:space="preserve">Compensación de deudas </w:t>
      </w:r>
      <w:r w:rsidRPr="00A63248">
        <w:rPr>
          <w:szCs w:val="26"/>
        </w:rPr>
        <w:t>con créditos a favor del contribuyente.</w:t>
      </w:r>
    </w:p>
    <w:p w:rsidR="000344EC" w:rsidRPr="00A63248" w:rsidRDefault="00304181" w:rsidP="005269D3">
      <w:pPr>
        <w:pStyle w:val="texto"/>
        <w:tabs>
          <w:tab w:val="clear" w:pos="2835"/>
          <w:tab w:val="clear" w:pos="3969"/>
          <w:tab w:val="clear" w:pos="5103"/>
          <w:tab w:val="clear" w:pos="6237"/>
          <w:tab w:val="clear" w:pos="7371"/>
        </w:tabs>
        <w:rPr>
          <w:szCs w:val="26"/>
        </w:rPr>
      </w:pPr>
      <w:r w:rsidRPr="00A63248">
        <w:rPr>
          <w:b/>
          <w:szCs w:val="26"/>
        </w:rPr>
        <w:lastRenderedPageBreak/>
        <w:t>Condonación de deudas</w:t>
      </w:r>
      <w:r w:rsidRPr="00A63248">
        <w:rPr>
          <w:szCs w:val="26"/>
        </w:rPr>
        <w:t>. La extinción de deudas tributarias por esta vía s</w:t>
      </w:r>
      <w:r w:rsidRPr="00A63248">
        <w:rPr>
          <w:szCs w:val="26"/>
        </w:rPr>
        <w:t>o</w:t>
      </w:r>
      <w:r w:rsidRPr="00A63248">
        <w:rPr>
          <w:szCs w:val="26"/>
        </w:rPr>
        <w:t>lo podrá efectuarse en virtud de una Ley F</w:t>
      </w:r>
      <w:r w:rsidR="00F34B89" w:rsidRPr="00A63248">
        <w:rPr>
          <w:szCs w:val="26"/>
        </w:rPr>
        <w:t>oral que determine la cuantía y los requisitos para tal condonación y para su extinción.</w:t>
      </w:r>
    </w:p>
    <w:p w:rsidR="00F34B89" w:rsidRPr="00A63248" w:rsidRDefault="00F34B89" w:rsidP="008A3F04">
      <w:pPr>
        <w:pStyle w:val="texto"/>
        <w:tabs>
          <w:tab w:val="clear" w:pos="2835"/>
          <w:tab w:val="clear" w:pos="3969"/>
          <w:tab w:val="clear" w:pos="5103"/>
          <w:tab w:val="clear" w:pos="6237"/>
          <w:tab w:val="clear" w:pos="7371"/>
        </w:tabs>
        <w:rPr>
          <w:szCs w:val="26"/>
        </w:rPr>
      </w:pPr>
      <w:r w:rsidRPr="00A63248">
        <w:rPr>
          <w:b/>
          <w:szCs w:val="26"/>
        </w:rPr>
        <w:t xml:space="preserve">Insolvencia. </w:t>
      </w:r>
      <w:r w:rsidRPr="00A63248">
        <w:rPr>
          <w:szCs w:val="26"/>
        </w:rPr>
        <w:t>Las deudas que no hayan podido ser efectivamente recaudadas por haber sido declarado fallidos los obligados al pago o sus responsables, se declararán provisionalmente incobrables, en tanto no se rehabiliten dentro del plazo de prescrip</w:t>
      </w:r>
      <w:r w:rsidR="00B83D77" w:rsidRPr="00A63248">
        <w:rPr>
          <w:szCs w:val="26"/>
        </w:rPr>
        <w:t>ción. V</w:t>
      </w:r>
      <w:r w:rsidRPr="00A63248">
        <w:rPr>
          <w:szCs w:val="26"/>
        </w:rPr>
        <w:t>encido este plazo sin hacerse efectiva, tal deuda qued</w:t>
      </w:r>
      <w:r w:rsidRPr="00A63248">
        <w:rPr>
          <w:szCs w:val="26"/>
        </w:rPr>
        <w:t>a</w:t>
      </w:r>
      <w:r w:rsidRPr="00A63248">
        <w:rPr>
          <w:szCs w:val="26"/>
        </w:rPr>
        <w:t>rá definitivamente extinguida.</w:t>
      </w:r>
    </w:p>
    <w:p w:rsidR="000344EC" w:rsidRPr="00A63248" w:rsidRDefault="00F34B89" w:rsidP="008A3F04">
      <w:pPr>
        <w:pStyle w:val="texto"/>
        <w:tabs>
          <w:tab w:val="clear" w:pos="2835"/>
          <w:tab w:val="clear" w:pos="3969"/>
          <w:tab w:val="clear" w:pos="5103"/>
          <w:tab w:val="clear" w:pos="6237"/>
          <w:tab w:val="clear" w:pos="7371"/>
        </w:tabs>
        <w:rPr>
          <w:szCs w:val="26"/>
        </w:rPr>
      </w:pPr>
      <w:r w:rsidRPr="00A63248">
        <w:rPr>
          <w:szCs w:val="26"/>
        </w:rPr>
        <w:t>S</w:t>
      </w:r>
      <w:r w:rsidR="00D72560" w:rsidRPr="00A63248">
        <w:rPr>
          <w:szCs w:val="26"/>
        </w:rPr>
        <w:t xml:space="preserve">on deudores fallidos </w:t>
      </w:r>
      <w:r w:rsidR="000344EC" w:rsidRPr="00A63248">
        <w:rPr>
          <w:szCs w:val="26"/>
        </w:rPr>
        <w:t>aquellos cuya deuda tributaria</w:t>
      </w:r>
      <w:r w:rsidR="00D72560" w:rsidRPr="00A63248">
        <w:rPr>
          <w:szCs w:val="26"/>
        </w:rPr>
        <w:t xml:space="preserve"> no puede hacerse efe</w:t>
      </w:r>
      <w:r w:rsidR="00D72560" w:rsidRPr="00A63248">
        <w:rPr>
          <w:szCs w:val="26"/>
        </w:rPr>
        <w:t>c</w:t>
      </w:r>
      <w:r w:rsidR="00D72560" w:rsidRPr="00A63248">
        <w:rPr>
          <w:szCs w:val="26"/>
        </w:rPr>
        <w:t>tiv</w:t>
      </w:r>
      <w:r w:rsidR="000344EC" w:rsidRPr="00A63248">
        <w:rPr>
          <w:szCs w:val="26"/>
        </w:rPr>
        <w:t>a</w:t>
      </w:r>
      <w:r w:rsidR="00D72560" w:rsidRPr="00A63248">
        <w:rPr>
          <w:szCs w:val="26"/>
        </w:rPr>
        <w:t xml:space="preserve"> en el procedimiento de apremio por la insolvencia de los mismos y de los demás responsables, si los hubiere, o por desconocerse su paradero. La declar</w:t>
      </w:r>
      <w:r w:rsidR="00D72560" w:rsidRPr="00A63248">
        <w:rPr>
          <w:szCs w:val="26"/>
        </w:rPr>
        <w:t>a</w:t>
      </w:r>
      <w:r w:rsidR="00D72560" w:rsidRPr="00A63248">
        <w:rPr>
          <w:szCs w:val="26"/>
        </w:rPr>
        <w:t>ción de fallido será aprobada</w:t>
      </w:r>
      <w:r w:rsidR="00FD3B86" w:rsidRPr="00A63248">
        <w:rPr>
          <w:szCs w:val="26"/>
        </w:rPr>
        <w:t xml:space="preserve">, previo informe del servicio de Recaudación, </w:t>
      </w:r>
      <w:r w:rsidR="00D72560" w:rsidRPr="00A63248">
        <w:rPr>
          <w:szCs w:val="26"/>
        </w:rPr>
        <w:t xml:space="preserve"> por el </w:t>
      </w:r>
      <w:r w:rsidR="007A2F8F">
        <w:rPr>
          <w:szCs w:val="26"/>
        </w:rPr>
        <w:t>d</w:t>
      </w:r>
      <w:r w:rsidR="00D72560" w:rsidRPr="00A63248">
        <w:rPr>
          <w:szCs w:val="26"/>
        </w:rPr>
        <w:t xml:space="preserve">irector </w:t>
      </w:r>
      <w:r w:rsidR="007A2F8F">
        <w:rPr>
          <w:szCs w:val="26"/>
        </w:rPr>
        <w:t>g</w:t>
      </w:r>
      <w:r w:rsidR="00D72560" w:rsidRPr="00A63248">
        <w:rPr>
          <w:szCs w:val="26"/>
        </w:rPr>
        <w:t>erente de la HTN atendiendo al principio de eficacia en la gestión de los recursos disponibles y aplicando los criterios de cuantía, origen, natur</w:t>
      </w:r>
      <w:r w:rsidR="00D72560" w:rsidRPr="00A63248">
        <w:rPr>
          <w:szCs w:val="26"/>
        </w:rPr>
        <w:t>a</w:t>
      </w:r>
      <w:r w:rsidR="00D72560" w:rsidRPr="00A63248">
        <w:rPr>
          <w:szCs w:val="26"/>
        </w:rPr>
        <w:t xml:space="preserve">leza o antigüedad de las deudas afectadas. </w:t>
      </w:r>
      <w:r w:rsidR="000344EC" w:rsidRPr="00A63248">
        <w:rPr>
          <w:szCs w:val="26"/>
        </w:rPr>
        <w:t>El procedimiento para su declaración básicamente</w:t>
      </w:r>
      <w:r w:rsidR="00915EEC" w:rsidRPr="00A63248">
        <w:rPr>
          <w:szCs w:val="26"/>
        </w:rPr>
        <w:t xml:space="preserve"> contendrá fundamentalmente la siguiente documentación</w:t>
      </w:r>
      <w:r w:rsidR="000344EC" w:rsidRPr="00A63248">
        <w:rPr>
          <w:szCs w:val="26"/>
        </w:rPr>
        <w:t>:</w:t>
      </w:r>
    </w:p>
    <w:p w:rsidR="000344EC" w:rsidRPr="00A63248" w:rsidRDefault="000344EC" w:rsidP="000344EC">
      <w:pPr>
        <w:pStyle w:val="texto"/>
        <w:tabs>
          <w:tab w:val="clear" w:pos="2835"/>
          <w:tab w:val="clear" w:pos="3969"/>
          <w:tab w:val="clear" w:pos="5103"/>
          <w:tab w:val="clear" w:pos="6237"/>
          <w:tab w:val="clear" w:pos="7371"/>
        </w:tabs>
        <w:rPr>
          <w:spacing w:val="4"/>
          <w:szCs w:val="26"/>
        </w:rPr>
      </w:pPr>
      <w:r w:rsidRPr="00A63248">
        <w:rPr>
          <w:szCs w:val="26"/>
        </w:rPr>
        <w:t xml:space="preserve">a) </w:t>
      </w:r>
      <w:r w:rsidRPr="00A63248">
        <w:rPr>
          <w:spacing w:val="4"/>
          <w:szCs w:val="26"/>
        </w:rPr>
        <w:t>Sobre el paradero del deudor principal o de los responsables solidarios, ce</w:t>
      </w:r>
      <w:r w:rsidRPr="00A63248">
        <w:rPr>
          <w:spacing w:val="4"/>
          <w:szCs w:val="26"/>
        </w:rPr>
        <w:t>r</w:t>
      </w:r>
      <w:r w:rsidRPr="00A63248">
        <w:rPr>
          <w:spacing w:val="4"/>
          <w:szCs w:val="26"/>
        </w:rPr>
        <w:t>tificado de la Alcaldía que acredite su no residencia en el último o único domic</w:t>
      </w:r>
      <w:r w:rsidRPr="00A63248">
        <w:rPr>
          <w:spacing w:val="4"/>
          <w:szCs w:val="26"/>
        </w:rPr>
        <w:t>i</w:t>
      </w:r>
      <w:r w:rsidRPr="00A63248">
        <w:rPr>
          <w:spacing w:val="4"/>
          <w:szCs w:val="26"/>
        </w:rPr>
        <w:t>lio conocido.</w:t>
      </w:r>
    </w:p>
    <w:p w:rsidR="000344EC" w:rsidRPr="00A63248" w:rsidRDefault="000344EC" w:rsidP="000344EC">
      <w:pPr>
        <w:pStyle w:val="texto"/>
        <w:tabs>
          <w:tab w:val="clear" w:pos="2835"/>
          <w:tab w:val="clear" w:pos="3969"/>
          <w:tab w:val="clear" w:pos="5103"/>
          <w:tab w:val="clear" w:pos="6237"/>
          <w:tab w:val="clear" w:pos="7371"/>
        </w:tabs>
        <w:rPr>
          <w:szCs w:val="26"/>
        </w:rPr>
      </w:pPr>
      <w:r w:rsidRPr="00A63248">
        <w:rPr>
          <w:szCs w:val="26"/>
        </w:rPr>
        <w:t>b) En el caso de insolvencia, inexistencia de bienes embargables del deudor principal o de los responsables solidarios.</w:t>
      </w:r>
    </w:p>
    <w:p w:rsidR="000344EC" w:rsidRPr="00A63248" w:rsidRDefault="000344EC" w:rsidP="000344EC">
      <w:pPr>
        <w:pStyle w:val="texto"/>
        <w:tabs>
          <w:tab w:val="clear" w:pos="2835"/>
          <w:tab w:val="clear" w:pos="3969"/>
          <w:tab w:val="clear" w:pos="5103"/>
          <w:tab w:val="clear" w:pos="6237"/>
          <w:tab w:val="clear" w:pos="7371"/>
        </w:tabs>
        <w:rPr>
          <w:szCs w:val="26"/>
        </w:rPr>
      </w:pPr>
      <w:r w:rsidRPr="00A63248">
        <w:rPr>
          <w:szCs w:val="26"/>
        </w:rPr>
        <w:t>c) Inexistencia de responsables subsidiarios.</w:t>
      </w:r>
    </w:p>
    <w:p w:rsidR="00D72560" w:rsidRPr="00A63248" w:rsidRDefault="000344EC" w:rsidP="008A3F04">
      <w:pPr>
        <w:pStyle w:val="texto"/>
        <w:tabs>
          <w:tab w:val="clear" w:pos="2835"/>
          <w:tab w:val="clear" w:pos="3969"/>
          <w:tab w:val="clear" w:pos="5103"/>
          <w:tab w:val="clear" w:pos="6237"/>
          <w:tab w:val="clear" w:pos="7371"/>
        </w:tabs>
        <w:rPr>
          <w:szCs w:val="26"/>
        </w:rPr>
      </w:pPr>
      <w:r w:rsidRPr="00A63248">
        <w:rPr>
          <w:szCs w:val="26"/>
        </w:rPr>
        <w:t>Demostrada su insolvencia y, en su caso, su paradero desconocido, el crédito se considerará incobrable</w:t>
      </w:r>
      <w:r w:rsidR="00915EEC" w:rsidRPr="00A63248">
        <w:rPr>
          <w:szCs w:val="26"/>
        </w:rPr>
        <w:t>, dándose de baja en sus respectivas cuentas.</w:t>
      </w:r>
      <w:r w:rsidRPr="00A63248">
        <w:rPr>
          <w:szCs w:val="26"/>
        </w:rPr>
        <w:t xml:space="preserve"> </w:t>
      </w:r>
      <w:r w:rsidR="00D72560" w:rsidRPr="00A63248">
        <w:rPr>
          <w:szCs w:val="26"/>
        </w:rPr>
        <w:t>Tal d</w:t>
      </w:r>
      <w:r w:rsidR="00D72560" w:rsidRPr="00A63248">
        <w:rPr>
          <w:szCs w:val="26"/>
        </w:rPr>
        <w:t>e</w:t>
      </w:r>
      <w:r w:rsidR="00D72560" w:rsidRPr="00A63248">
        <w:rPr>
          <w:szCs w:val="26"/>
        </w:rPr>
        <w:t xml:space="preserve">claración </w:t>
      </w:r>
      <w:r w:rsidR="00722A4F" w:rsidRPr="00A63248">
        <w:rPr>
          <w:szCs w:val="26"/>
        </w:rPr>
        <w:t xml:space="preserve">no impide posteriores actuaciones de cobro </w:t>
      </w:r>
      <w:r w:rsidR="001E1CE2" w:rsidRPr="00A63248">
        <w:rPr>
          <w:szCs w:val="26"/>
        </w:rPr>
        <w:t>de</w:t>
      </w:r>
      <w:r w:rsidR="00722A4F" w:rsidRPr="00A63248">
        <w:rPr>
          <w:szCs w:val="26"/>
        </w:rPr>
        <w:t xml:space="preserve"> la HTN contra quien proceda, en tanto no se extinga la deuda.</w:t>
      </w:r>
    </w:p>
    <w:p w:rsidR="00470A85" w:rsidRPr="00A63248" w:rsidRDefault="00470A85" w:rsidP="008A3F04">
      <w:pPr>
        <w:pStyle w:val="texto"/>
        <w:tabs>
          <w:tab w:val="clear" w:pos="2835"/>
          <w:tab w:val="clear" w:pos="3969"/>
          <w:tab w:val="clear" w:pos="5103"/>
          <w:tab w:val="clear" w:pos="6237"/>
          <w:tab w:val="clear" w:pos="7371"/>
        </w:tabs>
        <w:rPr>
          <w:szCs w:val="26"/>
        </w:rPr>
      </w:pPr>
      <w:r w:rsidRPr="00A63248">
        <w:rPr>
          <w:szCs w:val="26"/>
        </w:rPr>
        <w:t>Así mismo, es relevante indicar que la declaración de fallido es el trámite previo para proceder a la derivación de responsabilidad, salvo en el supuesto de responsabilidad solidaria que no precisa tal declaración.</w:t>
      </w:r>
    </w:p>
    <w:p w:rsidR="00D72560" w:rsidRPr="00A63248" w:rsidRDefault="00D72560" w:rsidP="008A3F04">
      <w:pPr>
        <w:pStyle w:val="texto"/>
        <w:tabs>
          <w:tab w:val="clear" w:pos="2835"/>
          <w:tab w:val="clear" w:pos="3969"/>
          <w:tab w:val="clear" w:pos="5103"/>
          <w:tab w:val="clear" w:pos="6237"/>
          <w:tab w:val="clear" w:pos="7371"/>
        </w:tabs>
        <w:rPr>
          <w:szCs w:val="26"/>
        </w:rPr>
      </w:pPr>
      <w:r w:rsidRPr="00A63248">
        <w:rPr>
          <w:szCs w:val="26"/>
        </w:rPr>
        <w:t>Declarado fallido un deudor, las deudas del mismo con vencimiento post</w:t>
      </w:r>
      <w:r w:rsidRPr="00A63248">
        <w:rPr>
          <w:szCs w:val="26"/>
        </w:rPr>
        <w:t>e</w:t>
      </w:r>
      <w:r w:rsidRPr="00A63248">
        <w:rPr>
          <w:szCs w:val="26"/>
        </w:rPr>
        <w:t>rior a tal declaración, se consideraran vencidas y serán dadas de baja por ref</w:t>
      </w:r>
      <w:r w:rsidRPr="00A63248">
        <w:rPr>
          <w:szCs w:val="26"/>
        </w:rPr>
        <w:t>e</w:t>
      </w:r>
      <w:r w:rsidRPr="00A63248">
        <w:rPr>
          <w:szCs w:val="26"/>
        </w:rPr>
        <w:t>rencia</w:t>
      </w:r>
      <w:r w:rsidR="00A25AB3" w:rsidRPr="00A63248">
        <w:rPr>
          <w:szCs w:val="26"/>
        </w:rPr>
        <w:t xml:space="preserve"> a la misma, salvo que se aporte información o datos para su revisión</w:t>
      </w:r>
      <w:r w:rsidR="000344EC" w:rsidRPr="00A63248">
        <w:rPr>
          <w:szCs w:val="26"/>
        </w:rPr>
        <w:t>.</w:t>
      </w:r>
    </w:p>
    <w:p w:rsidR="000344EC" w:rsidRPr="00A63248" w:rsidRDefault="00D72560" w:rsidP="00915EEC">
      <w:pPr>
        <w:pStyle w:val="texto"/>
        <w:tabs>
          <w:tab w:val="clear" w:pos="2835"/>
          <w:tab w:val="clear" w:pos="3969"/>
          <w:tab w:val="clear" w:pos="5103"/>
          <w:tab w:val="clear" w:pos="6237"/>
          <w:tab w:val="clear" w:pos="7371"/>
        </w:tabs>
        <w:rPr>
          <w:szCs w:val="26"/>
        </w:rPr>
      </w:pPr>
      <w:r w:rsidRPr="00A63248">
        <w:rPr>
          <w:szCs w:val="26"/>
        </w:rPr>
        <w:t>Corresponde a la HTN la revisión de los fallidos por si se diera la circun</w:t>
      </w:r>
      <w:r w:rsidRPr="00A63248">
        <w:rPr>
          <w:szCs w:val="26"/>
        </w:rPr>
        <w:t>s</w:t>
      </w:r>
      <w:r w:rsidRPr="00A63248">
        <w:rPr>
          <w:szCs w:val="26"/>
        </w:rPr>
        <w:t>tancia de una solvencia sobre</w:t>
      </w:r>
      <w:r w:rsidR="00A25AB3" w:rsidRPr="00A63248">
        <w:rPr>
          <w:szCs w:val="26"/>
        </w:rPr>
        <w:t>venida</w:t>
      </w:r>
      <w:r w:rsidRPr="00A63248">
        <w:rPr>
          <w:szCs w:val="26"/>
        </w:rPr>
        <w:t xml:space="preserve"> al mismo o</w:t>
      </w:r>
      <w:r w:rsidR="00A25AB3" w:rsidRPr="00A63248">
        <w:rPr>
          <w:szCs w:val="26"/>
        </w:rPr>
        <w:t xml:space="preserve"> a</w:t>
      </w:r>
      <w:r w:rsidRPr="00A63248">
        <w:rPr>
          <w:szCs w:val="26"/>
        </w:rPr>
        <w:t xml:space="preserve"> sus responsables</w:t>
      </w:r>
      <w:r w:rsidR="00A25AB3" w:rsidRPr="00A63248">
        <w:rPr>
          <w:szCs w:val="26"/>
        </w:rPr>
        <w:t xml:space="preserve"> y siempre que no medie la prescripción de dichas deudas.</w:t>
      </w:r>
      <w:r w:rsidR="00915EEC" w:rsidRPr="00A63248">
        <w:rPr>
          <w:szCs w:val="26"/>
        </w:rPr>
        <w:t xml:space="preserve"> En el supuesto de que se detecte tal solvencia, se </w:t>
      </w:r>
      <w:r w:rsidR="00470A85" w:rsidRPr="00A63248">
        <w:rPr>
          <w:szCs w:val="26"/>
        </w:rPr>
        <w:t>rea</w:t>
      </w:r>
      <w:r w:rsidR="00915EEC" w:rsidRPr="00A63248">
        <w:rPr>
          <w:szCs w:val="26"/>
        </w:rPr>
        <w:t>br</w:t>
      </w:r>
      <w:r w:rsidR="00470A85" w:rsidRPr="00A63248">
        <w:rPr>
          <w:szCs w:val="26"/>
        </w:rPr>
        <w:t>e</w:t>
      </w:r>
      <w:r w:rsidR="00915EEC" w:rsidRPr="00A63248">
        <w:rPr>
          <w:szCs w:val="26"/>
        </w:rPr>
        <w:t xml:space="preserve"> </w:t>
      </w:r>
      <w:r w:rsidR="00470A85" w:rsidRPr="00A63248">
        <w:rPr>
          <w:szCs w:val="26"/>
        </w:rPr>
        <w:t>el</w:t>
      </w:r>
      <w:r w:rsidR="00915EEC" w:rsidRPr="00A63248">
        <w:rPr>
          <w:szCs w:val="26"/>
        </w:rPr>
        <w:t xml:space="preserve"> procedimiento ejecutivo.</w:t>
      </w:r>
    </w:p>
    <w:p w:rsidR="006256FE" w:rsidRDefault="006256FE">
      <w:pPr>
        <w:spacing w:after="0"/>
        <w:ind w:firstLine="0"/>
        <w:jc w:val="left"/>
        <w:rPr>
          <w:rFonts w:ascii="Arial" w:hAnsi="Arial"/>
          <w:i/>
          <w:iCs/>
          <w:color w:val="000000"/>
          <w:spacing w:val="10"/>
          <w:kern w:val="28"/>
          <w:sz w:val="25"/>
          <w:szCs w:val="26"/>
        </w:rPr>
      </w:pPr>
      <w:r>
        <w:br w:type="page"/>
      </w:r>
    </w:p>
    <w:p w:rsidR="00B14699" w:rsidRPr="00A63248" w:rsidRDefault="00B14699" w:rsidP="001C7C66">
      <w:pPr>
        <w:pStyle w:val="atitulo3"/>
      </w:pPr>
      <w:r w:rsidRPr="00A63248">
        <w:lastRenderedPageBreak/>
        <w:t>Órganos responsables de la gestión de la prescripción</w:t>
      </w:r>
      <w:r w:rsidR="007F0634" w:rsidRPr="00A63248">
        <w:t xml:space="preserve"> y procedimiento básic</w:t>
      </w:r>
      <w:r w:rsidR="006436BC" w:rsidRPr="00A63248">
        <w:t>o</w:t>
      </w:r>
      <w:r w:rsidR="007F0634" w:rsidRPr="00A63248">
        <w:t xml:space="preserve"> de la misma</w:t>
      </w:r>
      <w:r w:rsidRPr="00A63248">
        <w:t>.</w:t>
      </w:r>
    </w:p>
    <w:p w:rsidR="00B14699" w:rsidRPr="00A63248" w:rsidRDefault="00B14699" w:rsidP="00B14699">
      <w:pPr>
        <w:pStyle w:val="texto"/>
        <w:tabs>
          <w:tab w:val="clear" w:pos="2835"/>
          <w:tab w:val="clear" w:pos="3969"/>
          <w:tab w:val="clear" w:pos="5103"/>
          <w:tab w:val="clear" w:pos="6237"/>
          <w:tab w:val="clear" w:pos="7371"/>
        </w:tabs>
        <w:rPr>
          <w:szCs w:val="26"/>
        </w:rPr>
      </w:pPr>
      <w:r w:rsidRPr="00A63248">
        <w:rPr>
          <w:szCs w:val="26"/>
        </w:rPr>
        <w:t>La Hacienda Tributaria de Navarra es la organización administrativa respo</w:t>
      </w:r>
      <w:r w:rsidRPr="00A63248">
        <w:rPr>
          <w:szCs w:val="26"/>
        </w:rPr>
        <w:t>n</w:t>
      </w:r>
      <w:r w:rsidRPr="00A63248">
        <w:rPr>
          <w:szCs w:val="26"/>
        </w:rPr>
        <w:t>sable, en nombre y por cuenta de la Administración de la Comunidad Foral de Navarra, de la aplicación del sistema tributario de la Hacienda Pública de N</w:t>
      </w:r>
      <w:r w:rsidRPr="00A63248">
        <w:rPr>
          <w:szCs w:val="26"/>
        </w:rPr>
        <w:t>a</w:t>
      </w:r>
      <w:r w:rsidRPr="00A63248">
        <w:rPr>
          <w:szCs w:val="26"/>
        </w:rPr>
        <w:t xml:space="preserve">varra. </w:t>
      </w:r>
    </w:p>
    <w:p w:rsidR="00B14699" w:rsidRPr="00A63248" w:rsidRDefault="00B14699" w:rsidP="00B14699">
      <w:pPr>
        <w:pStyle w:val="texto"/>
        <w:tabs>
          <w:tab w:val="clear" w:pos="2835"/>
          <w:tab w:val="clear" w:pos="3969"/>
          <w:tab w:val="clear" w:pos="5103"/>
          <w:tab w:val="clear" w:pos="6237"/>
          <w:tab w:val="clear" w:pos="7371"/>
        </w:tabs>
        <w:rPr>
          <w:szCs w:val="26"/>
        </w:rPr>
      </w:pPr>
      <w:r w:rsidRPr="00A63248">
        <w:rPr>
          <w:szCs w:val="26"/>
        </w:rPr>
        <w:t>Corresponde a la Hacienda Tributaria de Navarra coordinar adecuadamente todos los elementos personales, materiales y técnicos para lograr una correcta y eficaz gestión y recaudación de los tributos, a fin de alcanzar un escrupuloso y general cumplimiento de la normativa fiscal, sin menoscabo de la seguridad j</w:t>
      </w:r>
      <w:r w:rsidRPr="00A63248">
        <w:rPr>
          <w:szCs w:val="26"/>
        </w:rPr>
        <w:t>u</w:t>
      </w:r>
      <w:r w:rsidRPr="00A63248">
        <w:rPr>
          <w:szCs w:val="26"/>
        </w:rPr>
        <w:t>rídica del contribuyente, con minimización de la presión fiscal indirecta que la referida normativa origina. Para ello, la Hacienda Tributaria de Navarra realiz</w:t>
      </w:r>
      <w:r w:rsidRPr="00A63248">
        <w:rPr>
          <w:szCs w:val="26"/>
        </w:rPr>
        <w:t>a</w:t>
      </w:r>
      <w:r w:rsidRPr="00A63248">
        <w:rPr>
          <w:szCs w:val="26"/>
        </w:rPr>
        <w:t>rá cuantas actividades contribuyan al cumplimiento de sus fines.</w:t>
      </w:r>
    </w:p>
    <w:p w:rsidR="00B14699" w:rsidRPr="00A63248" w:rsidRDefault="00B14699" w:rsidP="00B14699">
      <w:pPr>
        <w:pStyle w:val="texto"/>
        <w:tabs>
          <w:tab w:val="clear" w:pos="2835"/>
          <w:tab w:val="clear" w:pos="3969"/>
          <w:tab w:val="clear" w:pos="5103"/>
          <w:tab w:val="clear" w:pos="6237"/>
          <w:tab w:val="clear" w:pos="7371"/>
        </w:tabs>
        <w:rPr>
          <w:szCs w:val="26"/>
        </w:rPr>
      </w:pPr>
      <w:r w:rsidRPr="00A63248">
        <w:rPr>
          <w:szCs w:val="26"/>
        </w:rPr>
        <w:t>Dentro de su estructura y dependiendo directamente del Director Gerente, se contempla el Servicio de Recaudación que ejerce la dirección y control de la gestión recaudatoria de la Hacienda Tributaria de Navarra; tiene asignadas, e</w:t>
      </w:r>
      <w:r w:rsidRPr="00A63248">
        <w:rPr>
          <w:szCs w:val="26"/>
        </w:rPr>
        <w:t>n</w:t>
      </w:r>
      <w:r w:rsidRPr="00A63248">
        <w:rPr>
          <w:szCs w:val="26"/>
        </w:rPr>
        <w:t>tre otras y a los efectos de este trabajo, las siguientes funciones:</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 xml:space="preserve">La dirección técnica y control de la gestión recaudatoria de la Hacienda Tributaria de Navarra.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coordinación de criterios y, en su caso, la resolución de los recursos i</w:t>
      </w:r>
      <w:r w:rsidRPr="00A63248">
        <w:rPr>
          <w:szCs w:val="26"/>
        </w:rPr>
        <w:t>n</w:t>
      </w:r>
      <w:r w:rsidRPr="00A63248">
        <w:rPr>
          <w:szCs w:val="26"/>
        </w:rPr>
        <w:t xml:space="preserve">terpuestos contra los actos dictados en el procedimiento de recaudación.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dirección y, en su caso, resolución y gestión de las acciones a empre</w:t>
      </w:r>
      <w:r w:rsidRPr="00A63248">
        <w:rPr>
          <w:szCs w:val="26"/>
        </w:rPr>
        <w:t>n</w:t>
      </w:r>
      <w:r w:rsidRPr="00A63248">
        <w:rPr>
          <w:szCs w:val="26"/>
        </w:rPr>
        <w:t>der en los procedimientos concursales o especiales.</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fijación de criterios de actuación o ejecución de acciones en la gestión recaudatoria de deudas que afecten a personas o entidades de sectores econ</w:t>
      </w:r>
      <w:r w:rsidRPr="00A63248">
        <w:rPr>
          <w:szCs w:val="26"/>
        </w:rPr>
        <w:t>ó</w:t>
      </w:r>
      <w:r w:rsidRPr="00A63248">
        <w:rPr>
          <w:szCs w:val="26"/>
        </w:rPr>
        <w:t xml:space="preserve">micos con dificultades estructurales o coyunturales, con el fin de hacer posible el cumplimiento de sus obligaciones con la Hacienda Tributaria de Navarra.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 xml:space="preserve">La compensación de las deudas de acuerdo con las competencias atribuidas por las disposiciones en vigor. </w:t>
      </w:r>
    </w:p>
    <w:p w:rsidR="00DB3557" w:rsidRPr="00A63248" w:rsidRDefault="00B14699" w:rsidP="00DB355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 xml:space="preserve">La instrucción de los expedientes de prescripción de oficio.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 xml:space="preserve">La elaboración de la memoria del Servicio. </w:t>
      </w:r>
    </w:p>
    <w:p w:rsidR="00B14699" w:rsidRPr="00A63248" w:rsidRDefault="00B14699" w:rsidP="00B14699">
      <w:pPr>
        <w:pStyle w:val="texto"/>
        <w:tabs>
          <w:tab w:val="clear" w:pos="2835"/>
          <w:tab w:val="clear" w:pos="3969"/>
          <w:tab w:val="clear" w:pos="5103"/>
          <w:tab w:val="clear" w:pos="6237"/>
          <w:tab w:val="clear" w:pos="7371"/>
        </w:tabs>
        <w:rPr>
          <w:szCs w:val="26"/>
        </w:rPr>
      </w:pPr>
      <w:r w:rsidRPr="00A63248">
        <w:rPr>
          <w:szCs w:val="26"/>
        </w:rPr>
        <w:t>Para el cumplimiento de sus fines, este servicio se estructura en las siguie</w:t>
      </w:r>
      <w:r w:rsidRPr="00A63248">
        <w:rPr>
          <w:szCs w:val="26"/>
        </w:rPr>
        <w:t>n</w:t>
      </w:r>
      <w:r w:rsidRPr="00A63248">
        <w:rPr>
          <w:szCs w:val="26"/>
        </w:rPr>
        <w:t xml:space="preserve">tes secciones, </w:t>
      </w:r>
      <w:r w:rsidR="00266753" w:rsidRPr="00A63248">
        <w:rPr>
          <w:szCs w:val="26"/>
        </w:rPr>
        <w:t>la cual</w:t>
      </w:r>
      <w:r w:rsidRPr="00A63248">
        <w:rPr>
          <w:szCs w:val="26"/>
        </w:rPr>
        <w:t xml:space="preserve"> se ha mantenido básicamente en el periodo analizado (2008 a 2015):</w:t>
      </w:r>
    </w:p>
    <w:p w:rsidR="00B14699" w:rsidRPr="00A63248" w:rsidRDefault="00B14699" w:rsidP="009D7570">
      <w:pPr>
        <w:pStyle w:val="texto"/>
        <w:tabs>
          <w:tab w:val="clear" w:pos="2835"/>
          <w:tab w:val="clear" w:pos="3969"/>
          <w:tab w:val="clear" w:pos="5103"/>
          <w:tab w:val="clear" w:pos="6237"/>
          <w:tab w:val="clear" w:pos="7371"/>
        </w:tabs>
        <w:rPr>
          <w:szCs w:val="26"/>
        </w:rPr>
      </w:pPr>
      <w:r w:rsidRPr="00A63248">
        <w:rPr>
          <w:szCs w:val="26"/>
        </w:rPr>
        <w:t xml:space="preserve">a) Gestión de Aplazamientos. </w:t>
      </w:r>
    </w:p>
    <w:p w:rsidR="00B14699" w:rsidRPr="00A63248" w:rsidRDefault="00B14699" w:rsidP="009D7570">
      <w:pPr>
        <w:pStyle w:val="texto"/>
        <w:tabs>
          <w:tab w:val="clear" w:pos="2835"/>
          <w:tab w:val="clear" w:pos="3969"/>
          <w:tab w:val="clear" w:pos="5103"/>
          <w:tab w:val="clear" w:pos="6237"/>
          <w:tab w:val="clear" w:pos="7371"/>
        </w:tabs>
        <w:rPr>
          <w:szCs w:val="26"/>
        </w:rPr>
      </w:pPr>
      <w:r w:rsidRPr="00A63248">
        <w:rPr>
          <w:szCs w:val="26"/>
        </w:rPr>
        <w:t xml:space="preserve">b) Recaudación Ejecutiva. </w:t>
      </w:r>
    </w:p>
    <w:p w:rsidR="00B14699" w:rsidRPr="00A63248" w:rsidRDefault="00B14699" w:rsidP="009D7570">
      <w:pPr>
        <w:pStyle w:val="texto"/>
        <w:tabs>
          <w:tab w:val="clear" w:pos="2835"/>
          <w:tab w:val="clear" w:pos="3969"/>
          <w:tab w:val="clear" w:pos="5103"/>
          <w:tab w:val="clear" w:pos="6237"/>
          <w:tab w:val="clear" w:pos="7371"/>
        </w:tabs>
        <w:rPr>
          <w:szCs w:val="26"/>
        </w:rPr>
      </w:pPr>
      <w:r w:rsidRPr="00A63248">
        <w:rPr>
          <w:szCs w:val="26"/>
        </w:rPr>
        <w:lastRenderedPageBreak/>
        <w:t xml:space="preserve">c) Procedimientos Especiales. </w:t>
      </w:r>
    </w:p>
    <w:p w:rsidR="00FA5C75" w:rsidRPr="00A63248" w:rsidRDefault="006436BC" w:rsidP="00304181">
      <w:pPr>
        <w:pStyle w:val="texto"/>
        <w:tabs>
          <w:tab w:val="clear" w:pos="2835"/>
          <w:tab w:val="clear" w:pos="3969"/>
          <w:tab w:val="clear" w:pos="5103"/>
          <w:tab w:val="clear" w:pos="6237"/>
          <w:tab w:val="clear" w:pos="7371"/>
        </w:tabs>
        <w:rPr>
          <w:szCs w:val="26"/>
        </w:rPr>
      </w:pPr>
      <w:r w:rsidRPr="00A63248">
        <w:rPr>
          <w:szCs w:val="26"/>
        </w:rPr>
        <w:t xml:space="preserve">d) </w:t>
      </w:r>
      <w:r w:rsidR="00B14699" w:rsidRPr="00A63248">
        <w:rPr>
          <w:szCs w:val="26"/>
        </w:rPr>
        <w:t>Aplicación y Control de la Recaudación.</w:t>
      </w:r>
    </w:p>
    <w:p w:rsidR="00B14699" w:rsidRPr="00A63248" w:rsidRDefault="00B14699" w:rsidP="009D7570">
      <w:pPr>
        <w:pStyle w:val="texto"/>
        <w:tabs>
          <w:tab w:val="clear" w:pos="2835"/>
          <w:tab w:val="clear" w:pos="3969"/>
          <w:tab w:val="clear" w:pos="5103"/>
          <w:tab w:val="clear" w:pos="6237"/>
          <w:tab w:val="clear" w:pos="7371"/>
        </w:tabs>
        <w:rPr>
          <w:szCs w:val="26"/>
        </w:rPr>
      </w:pPr>
      <w:r w:rsidRPr="00A63248">
        <w:rPr>
          <w:szCs w:val="26"/>
        </w:rPr>
        <w:t>De estas secciones, la que afecta al trabajo a realizar es fundamentalmente la Sección de Procedimientos Especiales, ya que, entre sus funciones, están las siguientes:</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gestión recaudatoria y control de todas aquellas deudas correspondie</w:t>
      </w:r>
      <w:r w:rsidRPr="00A63248">
        <w:rPr>
          <w:szCs w:val="26"/>
        </w:rPr>
        <w:t>n</w:t>
      </w:r>
      <w:r w:rsidRPr="00A63248">
        <w:rPr>
          <w:szCs w:val="26"/>
        </w:rPr>
        <w:t xml:space="preserve">tes a deudores sometidos a procedimientos concursales, ejerciendo, en su caso, la representación de la Comunidad Foral de Navarra en las Juntas, Comisiones, Administraciones Concursales y órganos de gestión asimilables.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El control y ejercicio de las actuaciones que sean necesarias realizar en d</w:t>
      </w:r>
      <w:r w:rsidRPr="00A63248">
        <w:rPr>
          <w:szCs w:val="26"/>
        </w:rPr>
        <w:t>e</w:t>
      </w:r>
      <w:r w:rsidRPr="00A63248">
        <w:rPr>
          <w:szCs w:val="26"/>
        </w:rPr>
        <w:t xml:space="preserve">fensa de los derechos de la Hacienda Tributaria de Navarra en los procesos de disolución y liquidación u otros acuerdos adoptados por entidades que puedan perjudicar dichos derechos.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gestión del cobro en periodo ejecutivo de las deudas superiores a 150.000 euros</w:t>
      </w:r>
      <w:r w:rsidR="002A05CF" w:rsidRPr="00A63248">
        <w:rPr>
          <w:szCs w:val="26"/>
        </w:rPr>
        <w:t>; la</w:t>
      </w:r>
      <w:r w:rsidRPr="00A63248">
        <w:rPr>
          <w:szCs w:val="26"/>
        </w:rPr>
        <w:t xml:space="preserve"> deudas inferiores a ese importe son competencia de la Se</w:t>
      </w:r>
      <w:r w:rsidRPr="00A63248">
        <w:rPr>
          <w:szCs w:val="26"/>
        </w:rPr>
        <w:t>c</w:t>
      </w:r>
      <w:r w:rsidRPr="00A63248">
        <w:rPr>
          <w:szCs w:val="26"/>
        </w:rPr>
        <w:t>ción de Recauda</w:t>
      </w:r>
      <w:r w:rsidR="002A05CF" w:rsidRPr="00A63248">
        <w:rPr>
          <w:szCs w:val="26"/>
        </w:rPr>
        <w:t>ción Ejecutiva</w:t>
      </w:r>
      <w:r w:rsidRPr="00A63248">
        <w:rPr>
          <w:szCs w:val="26"/>
        </w:rPr>
        <w:t xml:space="preserve">.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 xml:space="preserve">La tramitación de los </w:t>
      </w:r>
      <w:r w:rsidR="00470A85" w:rsidRPr="00A63248">
        <w:rPr>
          <w:szCs w:val="26"/>
        </w:rPr>
        <w:t>expedientes de</w:t>
      </w:r>
      <w:r w:rsidRPr="00A63248">
        <w:rPr>
          <w:szCs w:val="26"/>
        </w:rPr>
        <w:t xml:space="preserve"> derivación de responsabilidad.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tramitación de las declaraciones de insolvencias propuestas por los ó</w:t>
      </w:r>
      <w:r w:rsidRPr="00A63248">
        <w:rPr>
          <w:szCs w:val="26"/>
        </w:rPr>
        <w:t>r</w:t>
      </w:r>
      <w:r w:rsidRPr="00A63248">
        <w:rPr>
          <w:szCs w:val="26"/>
        </w:rPr>
        <w:t>ganos de recaudación</w:t>
      </w:r>
      <w:r w:rsidR="00470A85" w:rsidRPr="00A63248">
        <w:rPr>
          <w:szCs w:val="26"/>
        </w:rPr>
        <w:t xml:space="preserve"> y la gestión de los deudores fallidos</w:t>
      </w:r>
      <w:r w:rsidRPr="00A63248">
        <w:rPr>
          <w:szCs w:val="26"/>
        </w:rPr>
        <w:t xml:space="preserve">.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 xml:space="preserve">La tramitación de los expedientes de prescripción de oficio. </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gestión, control y ejecución material de los procesos de los ingresos i</w:t>
      </w:r>
      <w:r w:rsidRPr="00A63248">
        <w:rPr>
          <w:szCs w:val="26"/>
        </w:rPr>
        <w:t>n</w:t>
      </w:r>
      <w:r w:rsidRPr="00A63248">
        <w:rPr>
          <w:szCs w:val="26"/>
        </w:rPr>
        <w:t>debi</w:t>
      </w:r>
      <w:r w:rsidR="00470A85" w:rsidRPr="00A63248">
        <w:rPr>
          <w:szCs w:val="26"/>
        </w:rPr>
        <w:t>dos derivados de su gestión (hasta septiembre de 2015)</w:t>
      </w:r>
      <w:r w:rsidR="00E52175" w:rsidRPr="00A63248">
        <w:rPr>
          <w:szCs w:val="26"/>
        </w:rPr>
        <w:t>.</w:t>
      </w:r>
    </w:p>
    <w:p w:rsidR="00470A85" w:rsidRPr="00A63248" w:rsidRDefault="00470A85"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gestión de los recursos de reposición de todo el Servicio.</w:t>
      </w:r>
    </w:p>
    <w:p w:rsidR="00B14699" w:rsidRPr="00A63248" w:rsidRDefault="00B14699" w:rsidP="007348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elaboración de las estadísticas necesarias para el control de la gestión de las actividades de la Sección.</w:t>
      </w:r>
    </w:p>
    <w:p w:rsidR="00C87517" w:rsidRPr="00A63248" w:rsidRDefault="00C87517" w:rsidP="00C8751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 elaboración periódica de listados comprensivos de deudores en situ</w:t>
      </w:r>
      <w:r w:rsidRPr="00A63248">
        <w:rPr>
          <w:szCs w:val="26"/>
        </w:rPr>
        <w:t>a</w:t>
      </w:r>
      <w:r w:rsidRPr="00A63248">
        <w:rPr>
          <w:szCs w:val="26"/>
        </w:rPr>
        <w:t>ción de incumplimiento relevante de sus obligaciones tributarias con la H</w:t>
      </w:r>
      <w:r w:rsidRPr="00A63248">
        <w:rPr>
          <w:szCs w:val="26"/>
        </w:rPr>
        <w:t>a</w:t>
      </w:r>
      <w:r w:rsidRPr="00A63248">
        <w:rPr>
          <w:szCs w:val="26"/>
        </w:rPr>
        <w:t>cienda Pública de Navarr</w:t>
      </w:r>
      <w:r w:rsidR="00266753" w:rsidRPr="00A63248">
        <w:rPr>
          <w:szCs w:val="26"/>
        </w:rPr>
        <w:t>a para su posterior publicación</w:t>
      </w:r>
      <w:r w:rsidRPr="00A63248">
        <w:rPr>
          <w:szCs w:val="26"/>
        </w:rPr>
        <w:t xml:space="preserve"> (desde 2016).</w:t>
      </w:r>
    </w:p>
    <w:p w:rsidR="00B14699" w:rsidRPr="00A63248" w:rsidRDefault="00B14699" w:rsidP="009D7570">
      <w:pPr>
        <w:pStyle w:val="texto"/>
        <w:tabs>
          <w:tab w:val="clear" w:pos="2835"/>
          <w:tab w:val="clear" w:pos="3969"/>
          <w:tab w:val="clear" w:pos="5103"/>
          <w:tab w:val="clear" w:pos="6237"/>
          <w:tab w:val="clear" w:pos="7371"/>
        </w:tabs>
        <w:rPr>
          <w:szCs w:val="26"/>
        </w:rPr>
      </w:pPr>
      <w:r w:rsidRPr="00A63248">
        <w:rPr>
          <w:szCs w:val="26"/>
        </w:rPr>
        <w:t>Hasta septiembre 2015 –fecha de reforma de los estatutos de la HTN</w:t>
      </w:r>
      <w:r w:rsidR="007A2F8F">
        <w:rPr>
          <w:szCs w:val="26"/>
        </w:rPr>
        <w:t>–</w:t>
      </w:r>
      <w:r w:rsidRPr="00A63248">
        <w:rPr>
          <w:szCs w:val="26"/>
        </w:rPr>
        <w:t>, c</w:t>
      </w:r>
      <w:r w:rsidRPr="00A63248">
        <w:rPr>
          <w:szCs w:val="26"/>
        </w:rPr>
        <w:t>o</w:t>
      </w:r>
      <w:r w:rsidRPr="00A63248">
        <w:rPr>
          <w:szCs w:val="26"/>
        </w:rPr>
        <w:t>rrespondía a esta Sección la citada gestión de los ingresos indebidos. Desde esa fecha, tal función está asignada a la Sección de Aplicación y Control de la R</w:t>
      </w:r>
      <w:r w:rsidRPr="00A63248">
        <w:rPr>
          <w:szCs w:val="26"/>
        </w:rPr>
        <w:t>e</w:t>
      </w:r>
      <w:r w:rsidRPr="00A63248">
        <w:rPr>
          <w:szCs w:val="26"/>
        </w:rPr>
        <w:t xml:space="preserve">caudación; así mismo, esta </w:t>
      </w:r>
      <w:r w:rsidR="00BC333A">
        <w:rPr>
          <w:szCs w:val="26"/>
        </w:rPr>
        <w:t xml:space="preserve">última </w:t>
      </w:r>
      <w:r w:rsidRPr="00A63248">
        <w:rPr>
          <w:szCs w:val="26"/>
        </w:rPr>
        <w:t>Sección tiene atribuida la competencia sobre el control económico-contable de todas las deudas y deudores de la CFNA a través del CAT.</w:t>
      </w:r>
    </w:p>
    <w:p w:rsidR="006256FE" w:rsidRDefault="006256FE">
      <w:pPr>
        <w:spacing w:after="0"/>
        <w:ind w:firstLine="0"/>
        <w:jc w:val="left"/>
        <w:rPr>
          <w:spacing w:val="6"/>
          <w:sz w:val="26"/>
          <w:szCs w:val="26"/>
        </w:rPr>
      </w:pPr>
      <w:r>
        <w:rPr>
          <w:szCs w:val="26"/>
        </w:rPr>
        <w:br w:type="page"/>
      </w:r>
    </w:p>
    <w:p w:rsidR="00B14699" w:rsidRPr="006256FE" w:rsidRDefault="00B14699" w:rsidP="00E52175">
      <w:pPr>
        <w:pStyle w:val="texto"/>
        <w:tabs>
          <w:tab w:val="clear" w:pos="2835"/>
          <w:tab w:val="clear" w:pos="3969"/>
          <w:tab w:val="clear" w:pos="5103"/>
          <w:tab w:val="clear" w:pos="6237"/>
          <w:tab w:val="clear" w:pos="7371"/>
        </w:tabs>
        <w:spacing w:after="240"/>
        <w:rPr>
          <w:spacing w:val="2"/>
          <w:szCs w:val="26"/>
        </w:rPr>
      </w:pPr>
      <w:r w:rsidRPr="006256FE">
        <w:rPr>
          <w:spacing w:val="2"/>
          <w:szCs w:val="26"/>
        </w:rPr>
        <w:lastRenderedPageBreak/>
        <w:t>Para el ejercicio de sus funciones, la Sección de Procedimientos Especiales está dotada con el siguiente personal y su comparación con el existente en 2009:</w:t>
      </w:r>
    </w:p>
    <w:tbl>
      <w:tblPr>
        <w:tblStyle w:val="Tablaconcuadrcula"/>
        <w:tblW w:w="0" w:type="auto"/>
        <w:jc w:val="center"/>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6"/>
        <w:gridCol w:w="1121"/>
        <w:gridCol w:w="1192"/>
      </w:tblGrid>
      <w:tr w:rsidR="006256FE" w:rsidRPr="003875B4" w:rsidTr="006256FE">
        <w:trPr>
          <w:trHeight w:val="170"/>
          <w:jc w:val="center"/>
        </w:trPr>
        <w:tc>
          <w:tcPr>
            <w:tcW w:w="6436" w:type="dxa"/>
            <w:vMerge w:val="restart"/>
            <w:tcBorders>
              <w:top w:val="single" w:sz="4" w:space="0" w:color="auto"/>
            </w:tcBorders>
            <w:shd w:val="clear" w:color="auto" w:fill="A8CBEE" w:themeFill="accent2" w:themeFillTint="66"/>
            <w:vAlign w:val="center"/>
          </w:tcPr>
          <w:p w:rsidR="006256FE" w:rsidRPr="003875B4" w:rsidRDefault="006256FE" w:rsidP="000A7623">
            <w:pPr>
              <w:pStyle w:val="cuatexto"/>
              <w:rPr>
                <w:rFonts w:ascii="Arial" w:hAnsi="Arial" w:cs="Arial"/>
                <w:sz w:val="18"/>
                <w:szCs w:val="18"/>
              </w:rPr>
            </w:pPr>
            <w:r>
              <w:rPr>
                <w:rFonts w:ascii="Arial" w:hAnsi="Arial" w:cs="Arial"/>
                <w:sz w:val="18"/>
                <w:szCs w:val="18"/>
              </w:rPr>
              <w:t>Personal Sección Procedimientos Especiales</w:t>
            </w:r>
          </w:p>
        </w:tc>
        <w:tc>
          <w:tcPr>
            <w:tcW w:w="2313" w:type="dxa"/>
            <w:gridSpan w:val="2"/>
            <w:tcBorders>
              <w:top w:val="single" w:sz="4" w:space="0" w:color="auto"/>
              <w:bottom w:val="single" w:sz="4" w:space="0" w:color="auto"/>
            </w:tcBorders>
            <w:shd w:val="clear" w:color="auto" w:fill="A8CBEE" w:themeFill="accent2" w:themeFillTint="66"/>
            <w:vAlign w:val="center"/>
          </w:tcPr>
          <w:p w:rsidR="006256FE" w:rsidRPr="003875B4" w:rsidRDefault="006256FE" w:rsidP="006256FE">
            <w:pPr>
              <w:pStyle w:val="cuatexto"/>
              <w:tabs>
                <w:tab w:val="clear" w:pos="2835"/>
              </w:tabs>
              <w:jc w:val="right"/>
              <w:rPr>
                <w:rFonts w:ascii="Arial" w:hAnsi="Arial" w:cs="Arial"/>
                <w:sz w:val="18"/>
                <w:szCs w:val="18"/>
              </w:rPr>
            </w:pPr>
            <w:r>
              <w:rPr>
                <w:rFonts w:ascii="Arial" w:hAnsi="Arial" w:cs="Arial"/>
                <w:sz w:val="18"/>
                <w:szCs w:val="18"/>
              </w:rPr>
              <w:t>Número de empleados</w:t>
            </w:r>
          </w:p>
        </w:tc>
      </w:tr>
      <w:tr w:rsidR="00B14699" w:rsidRPr="003875B4" w:rsidTr="006256FE">
        <w:trPr>
          <w:trHeight w:val="170"/>
          <w:jc w:val="center"/>
        </w:trPr>
        <w:tc>
          <w:tcPr>
            <w:tcW w:w="6436" w:type="dxa"/>
            <w:vMerge/>
            <w:tcBorders>
              <w:bottom w:val="single" w:sz="4" w:space="0" w:color="auto"/>
            </w:tcBorders>
            <w:shd w:val="clear" w:color="auto" w:fill="A8CBEE" w:themeFill="accent2" w:themeFillTint="66"/>
            <w:vAlign w:val="center"/>
          </w:tcPr>
          <w:p w:rsidR="00B14699" w:rsidRDefault="00B14699" w:rsidP="000A7623">
            <w:pPr>
              <w:pStyle w:val="cuatexto"/>
              <w:rPr>
                <w:rFonts w:ascii="Arial" w:hAnsi="Arial" w:cs="Arial"/>
                <w:sz w:val="18"/>
                <w:szCs w:val="18"/>
              </w:rPr>
            </w:pPr>
          </w:p>
        </w:tc>
        <w:tc>
          <w:tcPr>
            <w:tcW w:w="1121" w:type="dxa"/>
            <w:tcBorders>
              <w:top w:val="single" w:sz="4" w:space="0" w:color="auto"/>
              <w:bottom w:val="single" w:sz="4" w:space="0" w:color="auto"/>
            </w:tcBorders>
            <w:shd w:val="clear" w:color="auto" w:fill="A8CBEE" w:themeFill="accent2" w:themeFillTint="66"/>
            <w:vAlign w:val="center"/>
          </w:tcPr>
          <w:p w:rsidR="00B14699" w:rsidRDefault="00B14699" w:rsidP="006256FE">
            <w:pPr>
              <w:pStyle w:val="cuatexto"/>
              <w:jc w:val="right"/>
              <w:rPr>
                <w:rFonts w:ascii="Arial" w:hAnsi="Arial" w:cs="Arial"/>
                <w:sz w:val="18"/>
                <w:szCs w:val="18"/>
              </w:rPr>
            </w:pPr>
            <w:r>
              <w:rPr>
                <w:rFonts w:ascii="Arial" w:hAnsi="Arial" w:cs="Arial"/>
                <w:sz w:val="18"/>
                <w:szCs w:val="18"/>
              </w:rPr>
              <w:t>2009</w:t>
            </w:r>
          </w:p>
        </w:tc>
        <w:tc>
          <w:tcPr>
            <w:tcW w:w="1192" w:type="dxa"/>
            <w:tcBorders>
              <w:top w:val="single" w:sz="4" w:space="0" w:color="auto"/>
              <w:bottom w:val="single" w:sz="4" w:space="0" w:color="auto"/>
            </w:tcBorders>
            <w:shd w:val="clear" w:color="auto" w:fill="A8CBEE" w:themeFill="accent2" w:themeFillTint="66"/>
            <w:vAlign w:val="center"/>
          </w:tcPr>
          <w:p w:rsidR="00B14699" w:rsidRPr="003875B4" w:rsidRDefault="00B14699" w:rsidP="006256FE">
            <w:pPr>
              <w:pStyle w:val="cuatexto"/>
              <w:jc w:val="right"/>
              <w:rPr>
                <w:rFonts w:ascii="Arial" w:hAnsi="Arial" w:cs="Arial"/>
                <w:sz w:val="18"/>
                <w:szCs w:val="18"/>
              </w:rPr>
            </w:pPr>
            <w:r>
              <w:rPr>
                <w:rFonts w:ascii="Arial" w:hAnsi="Arial" w:cs="Arial"/>
                <w:sz w:val="18"/>
                <w:szCs w:val="18"/>
              </w:rPr>
              <w:t>2015</w:t>
            </w:r>
          </w:p>
        </w:tc>
      </w:tr>
      <w:tr w:rsidR="00B14699" w:rsidRPr="009100B5" w:rsidTr="006256FE">
        <w:trPr>
          <w:trHeight w:val="255"/>
          <w:jc w:val="center"/>
        </w:trPr>
        <w:tc>
          <w:tcPr>
            <w:tcW w:w="6436" w:type="dxa"/>
            <w:tcBorders>
              <w:top w:val="single" w:sz="4" w:space="0" w:color="auto"/>
              <w:bottom w:val="single" w:sz="2" w:space="0" w:color="auto"/>
            </w:tcBorders>
            <w:vAlign w:val="center"/>
          </w:tcPr>
          <w:p w:rsidR="00B14699" w:rsidRPr="00E32A4F" w:rsidRDefault="00B14699" w:rsidP="000A7623">
            <w:pPr>
              <w:pStyle w:val="cuatexto"/>
            </w:pPr>
            <w:r>
              <w:t>Jefe Sección</w:t>
            </w:r>
          </w:p>
        </w:tc>
        <w:tc>
          <w:tcPr>
            <w:tcW w:w="1121" w:type="dxa"/>
            <w:tcBorders>
              <w:top w:val="single" w:sz="4" w:space="0" w:color="auto"/>
              <w:bottom w:val="single" w:sz="2" w:space="0" w:color="auto"/>
            </w:tcBorders>
            <w:vAlign w:val="center"/>
          </w:tcPr>
          <w:p w:rsidR="00B14699" w:rsidRDefault="00B14699" w:rsidP="000A7623">
            <w:pPr>
              <w:pStyle w:val="cuatexto"/>
              <w:jc w:val="right"/>
            </w:pPr>
            <w:r>
              <w:t>1</w:t>
            </w:r>
          </w:p>
        </w:tc>
        <w:tc>
          <w:tcPr>
            <w:tcW w:w="1192" w:type="dxa"/>
            <w:tcBorders>
              <w:top w:val="single" w:sz="4" w:space="0" w:color="auto"/>
              <w:bottom w:val="single" w:sz="2" w:space="0" w:color="auto"/>
            </w:tcBorders>
            <w:vAlign w:val="center"/>
          </w:tcPr>
          <w:p w:rsidR="00B14699" w:rsidRPr="009100B5" w:rsidRDefault="00B14699" w:rsidP="000A7623">
            <w:pPr>
              <w:pStyle w:val="cuatexto"/>
              <w:jc w:val="right"/>
            </w:pPr>
            <w:r>
              <w:t>1</w:t>
            </w:r>
          </w:p>
        </w:tc>
      </w:tr>
      <w:tr w:rsidR="00B14699" w:rsidRPr="009100B5" w:rsidTr="006256FE">
        <w:trPr>
          <w:trHeight w:val="255"/>
          <w:jc w:val="center"/>
        </w:trPr>
        <w:tc>
          <w:tcPr>
            <w:tcW w:w="6436" w:type="dxa"/>
            <w:tcBorders>
              <w:top w:val="single" w:sz="2" w:space="0" w:color="auto"/>
              <w:bottom w:val="single" w:sz="2" w:space="0" w:color="auto"/>
            </w:tcBorders>
            <w:vAlign w:val="center"/>
          </w:tcPr>
          <w:p w:rsidR="00B14699" w:rsidRPr="00E32A4F" w:rsidRDefault="00B14699" w:rsidP="000A7623">
            <w:pPr>
              <w:pStyle w:val="cuatexto"/>
            </w:pPr>
            <w:r>
              <w:t>Técnicos Hacienda</w:t>
            </w:r>
          </w:p>
        </w:tc>
        <w:tc>
          <w:tcPr>
            <w:tcW w:w="1121" w:type="dxa"/>
            <w:tcBorders>
              <w:top w:val="single" w:sz="2" w:space="0" w:color="auto"/>
              <w:bottom w:val="single" w:sz="2" w:space="0" w:color="auto"/>
            </w:tcBorders>
            <w:vAlign w:val="center"/>
          </w:tcPr>
          <w:p w:rsidR="00B14699" w:rsidRDefault="00B14699" w:rsidP="000A7623">
            <w:pPr>
              <w:pStyle w:val="cuatexto"/>
              <w:jc w:val="right"/>
            </w:pPr>
            <w:r>
              <w:t>-</w:t>
            </w:r>
          </w:p>
        </w:tc>
        <w:tc>
          <w:tcPr>
            <w:tcW w:w="1192" w:type="dxa"/>
            <w:tcBorders>
              <w:top w:val="single" w:sz="2" w:space="0" w:color="auto"/>
              <w:bottom w:val="single" w:sz="2" w:space="0" w:color="auto"/>
            </w:tcBorders>
            <w:vAlign w:val="center"/>
          </w:tcPr>
          <w:p w:rsidR="00B14699" w:rsidRPr="009100B5" w:rsidRDefault="00B14699" w:rsidP="000A7623">
            <w:pPr>
              <w:pStyle w:val="cuatexto"/>
              <w:jc w:val="right"/>
            </w:pPr>
            <w:r>
              <w:t>2</w:t>
            </w:r>
          </w:p>
        </w:tc>
      </w:tr>
      <w:tr w:rsidR="00B14699" w:rsidRPr="009100B5" w:rsidTr="006256FE">
        <w:trPr>
          <w:trHeight w:val="255"/>
          <w:jc w:val="center"/>
        </w:trPr>
        <w:tc>
          <w:tcPr>
            <w:tcW w:w="6436" w:type="dxa"/>
            <w:tcBorders>
              <w:top w:val="single" w:sz="2" w:space="0" w:color="auto"/>
              <w:bottom w:val="single" w:sz="2" w:space="0" w:color="auto"/>
            </w:tcBorders>
            <w:vAlign w:val="center"/>
          </w:tcPr>
          <w:p w:rsidR="00B14699" w:rsidRPr="00E32A4F" w:rsidRDefault="00B14699" w:rsidP="000A7623">
            <w:pPr>
              <w:pStyle w:val="cuatexto"/>
            </w:pPr>
            <w:r>
              <w:t>Gestor Hacienda</w:t>
            </w:r>
          </w:p>
        </w:tc>
        <w:tc>
          <w:tcPr>
            <w:tcW w:w="1121" w:type="dxa"/>
            <w:tcBorders>
              <w:top w:val="single" w:sz="2" w:space="0" w:color="auto"/>
              <w:bottom w:val="single" w:sz="2" w:space="0" w:color="auto"/>
            </w:tcBorders>
            <w:vAlign w:val="center"/>
          </w:tcPr>
          <w:p w:rsidR="00B14699" w:rsidRDefault="00B14699" w:rsidP="000A7623">
            <w:pPr>
              <w:pStyle w:val="cuatexto"/>
              <w:jc w:val="right"/>
            </w:pPr>
            <w:r>
              <w:t>1</w:t>
            </w:r>
          </w:p>
        </w:tc>
        <w:tc>
          <w:tcPr>
            <w:tcW w:w="1192" w:type="dxa"/>
            <w:tcBorders>
              <w:top w:val="single" w:sz="2" w:space="0" w:color="auto"/>
              <w:bottom w:val="single" w:sz="2" w:space="0" w:color="auto"/>
            </w:tcBorders>
            <w:vAlign w:val="center"/>
          </w:tcPr>
          <w:p w:rsidR="00B14699" w:rsidRPr="009100B5" w:rsidRDefault="00B14699" w:rsidP="000A7623">
            <w:pPr>
              <w:pStyle w:val="cuatexto"/>
              <w:jc w:val="right"/>
            </w:pPr>
            <w:r>
              <w:t>1</w:t>
            </w:r>
          </w:p>
        </w:tc>
      </w:tr>
      <w:tr w:rsidR="00B14699" w:rsidRPr="009100B5" w:rsidTr="006256FE">
        <w:trPr>
          <w:trHeight w:val="255"/>
          <w:jc w:val="center"/>
        </w:trPr>
        <w:tc>
          <w:tcPr>
            <w:tcW w:w="6436" w:type="dxa"/>
            <w:tcBorders>
              <w:top w:val="single" w:sz="2" w:space="0" w:color="auto"/>
              <w:bottom w:val="single" w:sz="2" w:space="0" w:color="auto"/>
            </w:tcBorders>
            <w:vAlign w:val="center"/>
          </w:tcPr>
          <w:p w:rsidR="00B14699" w:rsidRPr="00E32A4F" w:rsidRDefault="00B14699" w:rsidP="000A7623">
            <w:pPr>
              <w:pStyle w:val="cuatexto"/>
            </w:pPr>
            <w:r>
              <w:t>Técnico grado medio-Diplomado derecho</w:t>
            </w:r>
          </w:p>
        </w:tc>
        <w:tc>
          <w:tcPr>
            <w:tcW w:w="1121" w:type="dxa"/>
            <w:tcBorders>
              <w:top w:val="single" w:sz="2" w:space="0" w:color="auto"/>
              <w:bottom w:val="single" w:sz="2" w:space="0" w:color="auto"/>
            </w:tcBorders>
            <w:vAlign w:val="center"/>
          </w:tcPr>
          <w:p w:rsidR="00B14699" w:rsidRDefault="00B14699" w:rsidP="000A7623">
            <w:pPr>
              <w:pStyle w:val="cuatexto"/>
              <w:jc w:val="right"/>
            </w:pPr>
            <w:r>
              <w:t>-</w:t>
            </w:r>
          </w:p>
        </w:tc>
        <w:tc>
          <w:tcPr>
            <w:tcW w:w="1192" w:type="dxa"/>
            <w:tcBorders>
              <w:top w:val="single" w:sz="2" w:space="0" w:color="auto"/>
              <w:bottom w:val="single" w:sz="2" w:space="0" w:color="auto"/>
            </w:tcBorders>
            <w:vAlign w:val="center"/>
          </w:tcPr>
          <w:p w:rsidR="00B14699" w:rsidRPr="009100B5" w:rsidRDefault="00B14699" w:rsidP="000A7623">
            <w:pPr>
              <w:pStyle w:val="cuatexto"/>
              <w:jc w:val="right"/>
            </w:pPr>
            <w:r>
              <w:t>1</w:t>
            </w:r>
          </w:p>
        </w:tc>
      </w:tr>
      <w:tr w:rsidR="00B14699" w:rsidRPr="009100B5" w:rsidTr="006256FE">
        <w:trPr>
          <w:trHeight w:val="255"/>
          <w:jc w:val="center"/>
        </w:trPr>
        <w:tc>
          <w:tcPr>
            <w:tcW w:w="6436" w:type="dxa"/>
            <w:tcBorders>
              <w:top w:val="single" w:sz="2" w:space="0" w:color="auto"/>
              <w:bottom w:val="single" w:sz="2" w:space="0" w:color="auto"/>
            </w:tcBorders>
            <w:vAlign w:val="center"/>
          </w:tcPr>
          <w:p w:rsidR="00B14699" w:rsidRPr="00E32A4F" w:rsidRDefault="00B14699" w:rsidP="000A7623">
            <w:pPr>
              <w:pStyle w:val="cuatexto"/>
            </w:pPr>
            <w:r>
              <w:t>Administrativo</w:t>
            </w:r>
          </w:p>
        </w:tc>
        <w:tc>
          <w:tcPr>
            <w:tcW w:w="1121" w:type="dxa"/>
            <w:tcBorders>
              <w:top w:val="single" w:sz="2" w:space="0" w:color="auto"/>
              <w:bottom w:val="single" w:sz="2" w:space="0" w:color="auto"/>
            </w:tcBorders>
            <w:vAlign w:val="center"/>
          </w:tcPr>
          <w:p w:rsidR="00B14699" w:rsidRDefault="00B14699" w:rsidP="000A7623">
            <w:pPr>
              <w:pStyle w:val="cuatexto"/>
              <w:jc w:val="right"/>
            </w:pPr>
            <w:r>
              <w:t>1</w:t>
            </w:r>
          </w:p>
        </w:tc>
        <w:tc>
          <w:tcPr>
            <w:tcW w:w="1192" w:type="dxa"/>
            <w:tcBorders>
              <w:top w:val="single" w:sz="2" w:space="0" w:color="auto"/>
              <w:bottom w:val="single" w:sz="2" w:space="0" w:color="auto"/>
            </w:tcBorders>
            <w:vAlign w:val="center"/>
          </w:tcPr>
          <w:p w:rsidR="00B14699" w:rsidRPr="009100B5" w:rsidRDefault="00B14699" w:rsidP="000A7623">
            <w:pPr>
              <w:pStyle w:val="cuatexto"/>
              <w:jc w:val="right"/>
            </w:pPr>
            <w:r>
              <w:t>-</w:t>
            </w:r>
          </w:p>
        </w:tc>
      </w:tr>
      <w:tr w:rsidR="00B14699" w:rsidRPr="009100B5" w:rsidTr="006256FE">
        <w:trPr>
          <w:trHeight w:val="255"/>
          <w:jc w:val="center"/>
        </w:trPr>
        <w:tc>
          <w:tcPr>
            <w:tcW w:w="6436" w:type="dxa"/>
            <w:tcBorders>
              <w:top w:val="single" w:sz="2" w:space="0" w:color="auto"/>
              <w:bottom w:val="single" w:sz="2" w:space="0" w:color="auto"/>
            </w:tcBorders>
            <w:vAlign w:val="center"/>
          </w:tcPr>
          <w:p w:rsidR="00B14699" w:rsidRDefault="00B14699" w:rsidP="000A7623">
            <w:pPr>
              <w:pStyle w:val="cuatexto"/>
            </w:pPr>
            <w:r>
              <w:t>Auxiliar administrativo</w:t>
            </w:r>
          </w:p>
        </w:tc>
        <w:tc>
          <w:tcPr>
            <w:tcW w:w="1121" w:type="dxa"/>
            <w:tcBorders>
              <w:top w:val="single" w:sz="2" w:space="0" w:color="auto"/>
              <w:bottom w:val="single" w:sz="2" w:space="0" w:color="auto"/>
            </w:tcBorders>
            <w:vAlign w:val="center"/>
          </w:tcPr>
          <w:p w:rsidR="00B14699" w:rsidRDefault="00B14699" w:rsidP="000A7623">
            <w:pPr>
              <w:pStyle w:val="cuatexto"/>
              <w:jc w:val="right"/>
            </w:pPr>
            <w:r>
              <w:t>-</w:t>
            </w:r>
          </w:p>
        </w:tc>
        <w:tc>
          <w:tcPr>
            <w:tcW w:w="1192" w:type="dxa"/>
            <w:tcBorders>
              <w:top w:val="single" w:sz="2" w:space="0" w:color="auto"/>
              <w:bottom w:val="single" w:sz="2" w:space="0" w:color="auto"/>
            </w:tcBorders>
            <w:vAlign w:val="center"/>
          </w:tcPr>
          <w:p w:rsidR="00B14699" w:rsidRPr="009100B5" w:rsidRDefault="00B14699" w:rsidP="000A7623">
            <w:pPr>
              <w:pStyle w:val="cuatexto"/>
              <w:jc w:val="right"/>
            </w:pPr>
            <w:r>
              <w:t>1</w:t>
            </w:r>
          </w:p>
        </w:tc>
      </w:tr>
      <w:tr w:rsidR="00B14699" w:rsidRPr="009100B5" w:rsidTr="006256FE">
        <w:trPr>
          <w:trHeight w:val="255"/>
          <w:jc w:val="center"/>
        </w:trPr>
        <w:tc>
          <w:tcPr>
            <w:tcW w:w="6436" w:type="dxa"/>
            <w:tcBorders>
              <w:top w:val="single" w:sz="2" w:space="0" w:color="auto"/>
              <w:bottom w:val="single" w:sz="2" w:space="0" w:color="auto"/>
            </w:tcBorders>
            <w:shd w:val="clear" w:color="auto" w:fill="A8CBEE" w:themeFill="accent2" w:themeFillTint="66"/>
            <w:vAlign w:val="center"/>
          </w:tcPr>
          <w:p w:rsidR="00B14699" w:rsidRPr="003A6C3F" w:rsidRDefault="00B14699" w:rsidP="000A7623">
            <w:pPr>
              <w:pStyle w:val="cuatexto"/>
              <w:rPr>
                <w:rFonts w:ascii="Arial" w:hAnsi="Arial" w:cs="Arial"/>
                <w:sz w:val="18"/>
                <w:szCs w:val="18"/>
              </w:rPr>
            </w:pPr>
            <w:r w:rsidRPr="003A6C3F">
              <w:rPr>
                <w:rFonts w:ascii="Arial" w:hAnsi="Arial" w:cs="Arial"/>
                <w:sz w:val="18"/>
                <w:szCs w:val="18"/>
              </w:rPr>
              <w:t>Total</w:t>
            </w:r>
          </w:p>
        </w:tc>
        <w:tc>
          <w:tcPr>
            <w:tcW w:w="1121" w:type="dxa"/>
            <w:tcBorders>
              <w:top w:val="single" w:sz="2" w:space="0" w:color="auto"/>
              <w:bottom w:val="single" w:sz="2" w:space="0" w:color="auto"/>
            </w:tcBorders>
            <w:shd w:val="clear" w:color="auto" w:fill="A8CBEE" w:themeFill="accent2" w:themeFillTint="66"/>
            <w:vAlign w:val="center"/>
          </w:tcPr>
          <w:p w:rsidR="00B14699" w:rsidRPr="003A6C3F" w:rsidRDefault="00B14699" w:rsidP="000A7623">
            <w:pPr>
              <w:pStyle w:val="cuatexto"/>
              <w:jc w:val="right"/>
              <w:rPr>
                <w:rFonts w:ascii="Arial" w:hAnsi="Arial" w:cs="Arial"/>
                <w:sz w:val="18"/>
                <w:szCs w:val="18"/>
              </w:rPr>
            </w:pPr>
            <w:r w:rsidRPr="003A6C3F">
              <w:rPr>
                <w:rFonts w:ascii="Arial" w:hAnsi="Arial" w:cs="Arial"/>
                <w:sz w:val="18"/>
                <w:szCs w:val="18"/>
              </w:rPr>
              <w:t>3</w:t>
            </w:r>
          </w:p>
        </w:tc>
        <w:tc>
          <w:tcPr>
            <w:tcW w:w="1192" w:type="dxa"/>
            <w:tcBorders>
              <w:top w:val="single" w:sz="2" w:space="0" w:color="auto"/>
              <w:bottom w:val="single" w:sz="2" w:space="0" w:color="auto"/>
            </w:tcBorders>
            <w:shd w:val="clear" w:color="auto" w:fill="A8CBEE" w:themeFill="accent2" w:themeFillTint="66"/>
            <w:vAlign w:val="center"/>
          </w:tcPr>
          <w:p w:rsidR="00B14699" w:rsidRPr="003A6C3F" w:rsidRDefault="00B14699" w:rsidP="000A7623">
            <w:pPr>
              <w:pStyle w:val="cuatexto"/>
              <w:jc w:val="right"/>
              <w:rPr>
                <w:rFonts w:ascii="Arial" w:hAnsi="Arial" w:cs="Arial"/>
                <w:sz w:val="18"/>
                <w:szCs w:val="18"/>
              </w:rPr>
            </w:pPr>
            <w:r w:rsidRPr="003A6C3F">
              <w:rPr>
                <w:rFonts w:ascii="Arial" w:hAnsi="Arial" w:cs="Arial"/>
                <w:sz w:val="18"/>
                <w:szCs w:val="18"/>
              </w:rPr>
              <w:t>6</w:t>
            </w:r>
          </w:p>
        </w:tc>
      </w:tr>
    </w:tbl>
    <w:p w:rsidR="00EC17EA" w:rsidRPr="00A63248" w:rsidRDefault="00B14699" w:rsidP="00E52175">
      <w:pPr>
        <w:pStyle w:val="texto"/>
        <w:tabs>
          <w:tab w:val="clear" w:pos="2835"/>
          <w:tab w:val="clear" w:pos="3969"/>
          <w:tab w:val="clear" w:pos="5103"/>
          <w:tab w:val="clear" w:pos="6237"/>
          <w:tab w:val="clear" w:pos="7371"/>
        </w:tabs>
        <w:spacing w:before="240"/>
        <w:rPr>
          <w:szCs w:val="26"/>
        </w:rPr>
      </w:pPr>
      <w:r w:rsidRPr="00A63248">
        <w:rPr>
          <w:szCs w:val="26"/>
        </w:rPr>
        <w:t xml:space="preserve">Es decir, </w:t>
      </w:r>
      <w:r w:rsidR="000B1AB6">
        <w:rPr>
          <w:szCs w:val="26"/>
        </w:rPr>
        <w:t xml:space="preserve">en </w:t>
      </w:r>
      <w:r w:rsidRPr="00A63248">
        <w:rPr>
          <w:szCs w:val="26"/>
        </w:rPr>
        <w:t xml:space="preserve">el periodo analizado, la Sección ha </w:t>
      </w:r>
      <w:r w:rsidR="00266753" w:rsidRPr="00A63248">
        <w:rPr>
          <w:szCs w:val="26"/>
        </w:rPr>
        <w:t>aumentado su personal, de</w:t>
      </w:r>
      <w:r w:rsidR="00266753" w:rsidRPr="00A63248">
        <w:rPr>
          <w:szCs w:val="26"/>
        </w:rPr>
        <w:t>s</w:t>
      </w:r>
      <w:r w:rsidR="00266753" w:rsidRPr="00A63248">
        <w:rPr>
          <w:szCs w:val="26"/>
        </w:rPr>
        <w:t>tacando</w:t>
      </w:r>
      <w:r w:rsidR="00EC17EA" w:rsidRPr="00A63248">
        <w:rPr>
          <w:szCs w:val="26"/>
        </w:rPr>
        <w:t xml:space="preserve"> la incorporación de dos técnicos de hacienda</w:t>
      </w:r>
      <w:r w:rsidR="00266753" w:rsidRPr="00A63248">
        <w:rPr>
          <w:szCs w:val="26"/>
        </w:rPr>
        <w:t>.</w:t>
      </w:r>
      <w:r w:rsidR="00BC333A">
        <w:rPr>
          <w:szCs w:val="26"/>
        </w:rPr>
        <w:t xml:space="preserve"> A mediados de 2016, se ha incorporado un nuevo técnico de hacienda en formación.</w:t>
      </w:r>
      <w:r w:rsidR="00521CE7" w:rsidRPr="00A63248">
        <w:rPr>
          <w:szCs w:val="26"/>
        </w:rPr>
        <w:t xml:space="preserve"> </w:t>
      </w:r>
    </w:p>
    <w:p w:rsidR="00EC17EA" w:rsidRPr="00A63248" w:rsidRDefault="00EC17EA" w:rsidP="00E52175">
      <w:pPr>
        <w:pStyle w:val="texto"/>
        <w:tabs>
          <w:tab w:val="clear" w:pos="2835"/>
          <w:tab w:val="clear" w:pos="3969"/>
          <w:tab w:val="clear" w:pos="5103"/>
          <w:tab w:val="clear" w:pos="6237"/>
          <w:tab w:val="clear" w:pos="7371"/>
        </w:tabs>
        <w:spacing w:after="240"/>
        <w:rPr>
          <w:szCs w:val="26"/>
        </w:rPr>
      </w:pPr>
      <w:r w:rsidRPr="00A63248">
        <w:rPr>
          <w:szCs w:val="26"/>
        </w:rPr>
        <w:t>Por su parte, la Sección de Recaudación Ejecutiva, presenta la siguiente ev</w:t>
      </w:r>
      <w:r w:rsidRPr="00A63248">
        <w:rPr>
          <w:szCs w:val="26"/>
        </w:rPr>
        <w:t>o</w:t>
      </w:r>
      <w:r w:rsidRPr="00A63248">
        <w:rPr>
          <w:szCs w:val="26"/>
        </w:rPr>
        <w:t>lución:</w:t>
      </w:r>
    </w:p>
    <w:tbl>
      <w:tblPr>
        <w:tblStyle w:val="Tablaconcuadrcula"/>
        <w:tblW w:w="8843" w:type="dxa"/>
        <w:jc w:val="center"/>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3"/>
        <w:gridCol w:w="1009"/>
        <w:gridCol w:w="971"/>
      </w:tblGrid>
      <w:tr w:rsidR="006256FE" w:rsidRPr="003875B4" w:rsidTr="00C9451A">
        <w:trPr>
          <w:trHeight w:val="170"/>
          <w:jc w:val="center"/>
        </w:trPr>
        <w:tc>
          <w:tcPr>
            <w:tcW w:w="6863" w:type="dxa"/>
            <w:vMerge w:val="restart"/>
            <w:tcBorders>
              <w:top w:val="single" w:sz="4" w:space="0" w:color="auto"/>
            </w:tcBorders>
            <w:shd w:val="clear" w:color="auto" w:fill="A8CBEE" w:themeFill="accent2" w:themeFillTint="66"/>
            <w:vAlign w:val="center"/>
          </w:tcPr>
          <w:p w:rsidR="006256FE" w:rsidRPr="003875B4" w:rsidRDefault="006256FE" w:rsidP="00EC17EA">
            <w:pPr>
              <w:pStyle w:val="cuatexto"/>
              <w:rPr>
                <w:rFonts w:ascii="Arial" w:hAnsi="Arial" w:cs="Arial"/>
                <w:sz w:val="18"/>
                <w:szCs w:val="18"/>
              </w:rPr>
            </w:pPr>
            <w:r>
              <w:rPr>
                <w:rFonts w:ascii="Arial" w:hAnsi="Arial" w:cs="Arial"/>
                <w:sz w:val="18"/>
                <w:szCs w:val="18"/>
              </w:rPr>
              <w:t>Personal Sección Recaudación Ejecutiva</w:t>
            </w:r>
          </w:p>
        </w:tc>
        <w:tc>
          <w:tcPr>
            <w:tcW w:w="1980" w:type="dxa"/>
            <w:gridSpan w:val="2"/>
            <w:tcBorders>
              <w:top w:val="single" w:sz="4" w:space="0" w:color="auto"/>
              <w:bottom w:val="single" w:sz="4" w:space="0" w:color="auto"/>
            </w:tcBorders>
            <w:shd w:val="clear" w:color="auto" w:fill="A8CBEE" w:themeFill="accent2" w:themeFillTint="66"/>
            <w:vAlign w:val="center"/>
          </w:tcPr>
          <w:p w:rsidR="006256FE" w:rsidRPr="003875B4" w:rsidRDefault="006256FE" w:rsidP="006256FE">
            <w:pPr>
              <w:pStyle w:val="cuatexto"/>
              <w:jc w:val="right"/>
              <w:rPr>
                <w:rFonts w:ascii="Arial" w:hAnsi="Arial" w:cs="Arial"/>
                <w:sz w:val="18"/>
                <w:szCs w:val="18"/>
              </w:rPr>
            </w:pPr>
            <w:r>
              <w:rPr>
                <w:rFonts w:ascii="Arial" w:hAnsi="Arial" w:cs="Arial"/>
                <w:sz w:val="18"/>
                <w:szCs w:val="18"/>
              </w:rPr>
              <w:t>Número empleados</w:t>
            </w:r>
          </w:p>
        </w:tc>
      </w:tr>
      <w:tr w:rsidR="00EC17EA" w:rsidRPr="003875B4" w:rsidTr="00C9451A">
        <w:trPr>
          <w:trHeight w:val="170"/>
          <w:jc w:val="center"/>
        </w:trPr>
        <w:tc>
          <w:tcPr>
            <w:tcW w:w="6863" w:type="dxa"/>
            <w:vMerge/>
            <w:tcBorders>
              <w:bottom w:val="single" w:sz="4" w:space="0" w:color="auto"/>
            </w:tcBorders>
            <w:shd w:val="clear" w:color="auto" w:fill="ACCBF9" w:themeFill="background2"/>
            <w:vAlign w:val="center"/>
          </w:tcPr>
          <w:p w:rsidR="00EC17EA" w:rsidRDefault="00EC17EA" w:rsidP="00D43C27">
            <w:pPr>
              <w:pStyle w:val="cuatexto"/>
              <w:rPr>
                <w:rFonts w:ascii="Arial" w:hAnsi="Arial" w:cs="Arial"/>
                <w:sz w:val="18"/>
                <w:szCs w:val="18"/>
              </w:rPr>
            </w:pPr>
          </w:p>
        </w:tc>
        <w:tc>
          <w:tcPr>
            <w:tcW w:w="1009" w:type="dxa"/>
            <w:tcBorders>
              <w:top w:val="single" w:sz="4" w:space="0" w:color="auto"/>
              <w:bottom w:val="single" w:sz="4" w:space="0" w:color="auto"/>
            </w:tcBorders>
            <w:shd w:val="clear" w:color="auto" w:fill="ACCBF9" w:themeFill="background2"/>
            <w:vAlign w:val="center"/>
          </w:tcPr>
          <w:p w:rsidR="00EC17EA" w:rsidRDefault="00EC17EA" w:rsidP="006256FE">
            <w:pPr>
              <w:pStyle w:val="cuatexto"/>
              <w:jc w:val="right"/>
              <w:rPr>
                <w:rFonts w:ascii="Arial" w:hAnsi="Arial" w:cs="Arial"/>
                <w:sz w:val="18"/>
                <w:szCs w:val="18"/>
              </w:rPr>
            </w:pPr>
            <w:r>
              <w:rPr>
                <w:rFonts w:ascii="Arial" w:hAnsi="Arial" w:cs="Arial"/>
                <w:sz w:val="18"/>
                <w:szCs w:val="18"/>
              </w:rPr>
              <w:t>2009</w:t>
            </w:r>
          </w:p>
        </w:tc>
        <w:tc>
          <w:tcPr>
            <w:tcW w:w="971" w:type="dxa"/>
            <w:tcBorders>
              <w:top w:val="single" w:sz="4" w:space="0" w:color="auto"/>
              <w:bottom w:val="single" w:sz="4" w:space="0" w:color="auto"/>
            </w:tcBorders>
            <w:shd w:val="clear" w:color="auto" w:fill="ACCBF9" w:themeFill="background2"/>
            <w:vAlign w:val="center"/>
          </w:tcPr>
          <w:p w:rsidR="00EC17EA" w:rsidRPr="003875B4" w:rsidRDefault="00EC17EA" w:rsidP="006256FE">
            <w:pPr>
              <w:pStyle w:val="cuatexto"/>
              <w:jc w:val="right"/>
              <w:rPr>
                <w:rFonts w:ascii="Arial" w:hAnsi="Arial" w:cs="Arial"/>
                <w:sz w:val="18"/>
                <w:szCs w:val="18"/>
              </w:rPr>
            </w:pPr>
            <w:r>
              <w:rPr>
                <w:rFonts w:ascii="Arial" w:hAnsi="Arial" w:cs="Arial"/>
                <w:sz w:val="18"/>
                <w:szCs w:val="18"/>
              </w:rPr>
              <w:t>2015</w:t>
            </w:r>
          </w:p>
        </w:tc>
      </w:tr>
      <w:tr w:rsidR="00EC17EA" w:rsidRPr="009100B5" w:rsidTr="00C9451A">
        <w:trPr>
          <w:trHeight w:val="255"/>
          <w:jc w:val="center"/>
        </w:trPr>
        <w:tc>
          <w:tcPr>
            <w:tcW w:w="6863" w:type="dxa"/>
            <w:tcBorders>
              <w:top w:val="single" w:sz="4" w:space="0" w:color="auto"/>
              <w:bottom w:val="single" w:sz="2" w:space="0" w:color="auto"/>
            </w:tcBorders>
            <w:vAlign w:val="center"/>
          </w:tcPr>
          <w:p w:rsidR="00EC17EA" w:rsidRPr="00E32A4F" w:rsidRDefault="00EC17EA" w:rsidP="00D43C27">
            <w:pPr>
              <w:pStyle w:val="cuatexto"/>
            </w:pPr>
            <w:r>
              <w:t>Jefe Sección</w:t>
            </w:r>
          </w:p>
        </w:tc>
        <w:tc>
          <w:tcPr>
            <w:tcW w:w="1009" w:type="dxa"/>
            <w:tcBorders>
              <w:top w:val="single" w:sz="4" w:space="0" w:color="auto"/>
              <w:bottom w:val="single" w:sz="2" w:space="0" w:color="auto"/>
            </w:tcBorders>
            <w:vAlign w:val="center"/>
          </w:tcPr>
          <w:p w:rsidR="00EC17EA" w:rsidRDefault="00EC17EA" w:rsidP="00D43C27">
            <w:pPr>
              <w:pStyle w:val="cuatexto"/>
              <w:jc w:val="right"/>
            </w:pPr>
            <w:r>
              <w:t>1</w:t>
            </w:r>
          </w:p>
        </w:tc>
        <w:tc>
          <w:tcPr>
            <w:tcW w:w="971" w:type="dxa"/>
            <w:tcBorders>
              <w:top w:val="single" w:sz="4" w:space="0" w:color="auto"/>
              <w:bottom w:val="single" w:sz="2" w:space="0" w:color="auto"/>
            </w:tcBorders>
            <w:vAlign w:val="center"/>
          </w:tcPr>
          <w:p w:rsidR="00EC17EA" w:rsidRPr="009100B5" w:rsidRDefault="00EC17EA" w:rsidP="00D43C27">
            <w:pPr>
              <w:pStyle w:val="cuatexto"/>
              <w:jc w:val="right"/>
            </w:pPr>
            <w:r>
              <w:t>1</w:t>
            </w:r>
          </w:p>
        </w:tc>
      </w:tr>
      <w:tr w:rsidR="00EC17EA" w:rsidRPr="009100B5" w:rsidTr="00C9451A">
        <w:trPr>
          <w:trHeight w:val="255"/>
          <w:jc w:val="center"/>
        </w:trPr>
        <w:tc>
          <w:tcPr>
            <w:tcW w:w="6863" w:type="dxa"/>
            <w:tcBorders>
              <w:top w:val="single" w:sz="4" w:space="0" w:color="auto"/>
              <w:bottom w:val="single" w:sz="2" w:space="0" w:color="auto"/>
            </w:tcBorders>
            <w:vAlign w:val="center"/>
          </w:tcPr>
          <w:p w:rsidR="00EC17EA" w:rsidRDefault="00EC17EA" w:rsidP="00EC17EA">
            <w:pPr>
              <w:pStyle w:val="cuatexto"/>
            </w:pPr>
            <w:r>
              <w:t>Jefe de Negociado</w:t>
            </w:r>
          </w:p>
        </w:tc>
        <w:tc>
          <w:tcPr>
            <w:tcW w:w="1009" w:type="dxa"/>
            <w:tcBorders>
              <w:top w:val="single" w:sz="4" w:space="0" w:color="auto"/>
              <w:bottom w:val="single" w:sz="2" w:space="0" w:color="auto"/>
            </w:tcBorders>
            <w:vAlign w:val="center"/>
          </w:tcPr>
          <w:p w:rsidR="00EC17EA" w:rsidRDefault="00EC17EA" w:rsidP="00D43C27">
            <w:pPr>
              <w:pStyle w:val="cuatexto"/>
              <w:jc w:val="right"/>
            </w:pPr>
            <w:r>
              <w:t>2</w:t>
            </w:r>
          </w:p>
        </w:tc>
        <w:tc>
          <w:tcPr>
            <w:tcW w:w="971" w:type="dxa"/>
            <w:tcBorders>
              <w:top w:val="single" w:sz="4" w:space="0" w:color="auto"/>
              <w:bottom w:val="single" w:sz="2" w:space="0" w:color="auto"/>
            </w:tcBorders>
            <w:vAlign w:val="center"/>
          </w:tcPr>
          <w:p w:rsidR="00EC17EA" w:rsidRDefault="00EC17EA" w:rsidP="00D43C27">
            <w:pPr>
              <w:pStyle w:val="cuatexto"/>
              <w:jc w:val="right"/>
            </w:pPr>
            <w:r>
              <w:t>2</w:t>
            </w:r>
          </w:p>
        </w:tc>
      </w:tr>
      <w:tr w:rsidR="00EC17EA" w:rsidRPr="009100B5" w:rsidTr="00C9451A">
        <w:trPr>
          <w:trHeight w:val="255"/>
          <w:jc w:val="center"/>
        </w:trPr>
        <w:tc>
          <w:tcPr>
            <w:tcW w:w="6863" w:type="dxa"/>
            <w:tcBorders>
              <w:top w:val="single" w:sz="2" w:space="0" w:color="auto"/>
              <w:bottom w:val="single" w:sz="2" w:space="0" w:color="auto"/>
            </w:tcBorders>
            <w:vAlign w:val="center"/>
          </w:tcPr>
          <w:p w:rsidR="00EC17EA" w:rsidRPr="00E32A4F" w:rsidRDefault="00EC17EA" w:rsidP="00D43C27">
            <w:pPr>
              <w:pStyle w:val="cuatexto"/>
            </w:pPr>
            <w:r>
              <w:t>Gestor Hacienda</w:t>
            </w:r>
          </w:p>
        </w:tc>
        <w:tc>
          <w:tcPr>
            <w:tcW w:w="1009" w:type="dxa"/>
            <w:tcBorders>
              <w:top w:val="single" w:sz="2" w:space="0" w:color="auto"/>
              <w:bottom w:val="single" w:sz="2" w:space="0" w:color="auto"/>
            </w:tcBorders>
            <w:vAlign w:val="center"/>
          </w:tcPr>
          <w:p w:rsidR="00EC17EA" w:rsidRDefault="00EC17EA" w:rsidP="00D43C27">
            <w:pPr>
              <w:pStyle w:val="cuatexto"/>
              <w:jc w:val="right"/>
            </w:pPr>
            <w:r>
              <w:t>2</w:t>
            </w:r>
          </w:p>
        </w:tc>
        <w:tc>
          <w:tcPr>
            <w:tcW w:w="971" w:type="dxa"/>
            <w:tcBorders>
              <w:top w:val="single" w:sz="2" w:space="0" w:color="auto"/>
              <w:bottom w:val="single" w:sz="2" w:space="0" w:color="auto"/>
            </w:tcBorders>
            <w:vAlign w:val="center"/>
          </w:tcPr>
          <w:p w:rsidR="00EC17EA" w:rsidRPr="009100B5" w:rsidRDefault="00EC17EA" w:rsidP="00D43C27">
            <w:pPr>
              <w:pStyle w:val="cuatexto"/>
              <w:jc w:val="right"/>
            </w:pPr>
            <w:r>
              <w:t>3</w:t>
            </w:r>
          </w:p>
        </w:tc>
      </w:tr>
      <w:tr w:rsidR="00EC17EA" w:rsidRPr="009100B5" w:rsidTr="00C9451A">
        <w:trPr>
          <w:trHeight w:val="255"/>
          <w:jc w:val="center"/>
        </w:trPr>
        <w:tc>
          <w:tcPr>
            <w:tcW w:w="6863" w:type="dxa"/>
            <w:tcBorders>
              <w:top w:val="single" w:sz="2" w:space="0" w:color="auto"/>
              <w:bottom w:val="single" w:sz="2" w:space="0" w:color="auto"/>
            </w:tcBorders>
            <w:vAlign w:val="center"/>
          </w:tcPr>
          <w:p w:rsidR="00EC17EA" w:rsidRPr="00E32A4F" w:rsidRDefault="00EC17EA" w:rsidP="00D43C27">
            <w:pPr>
              <w:pStyle w:val="cuatexto"/>
            </w:pPr>
            <w:r>
              <w:t>Administrativo</w:t>
            </w:r>
          </w:p>
        </w:tc>
        <w:tc>
          <w:tcPr>
            <w:tcW w:w="1009" w:type="dxa"/>
            <w:tcBorders>
              <w:top w:val="single" w:sz="2" w:space="0" w:color="auto"/>
              <w:bottom w:val="single" w:sz="2" w:space="0" w:color="auto"/>
            </w:tcBorders>
            <w:vAlign w:val="center"/>
          </w:tcPr>
          <w:p w:rsidR="00EC17EA" w:rsidRDefault="00EC17EA" w:rsidP="00D43C27">
            <w:pPr>
              <w:pStyle w:val="cuatexto"/>
              <w:jc w:val="right"/>
            </w:pPr>
            <w:r>
              <w:t>2</w:t>
            </w:r>
          </w:p>
        </w:tc>
        <w:tc>
          <w:tcPr>
            <w:tcW w:w="971" w:type="dxa"/>
            <w:tcBorders>
              <w:top w:val="single" w:sz="2" w:space="0" w:color="auto"/>
              <w:bottom w:val="single" w:sz="2" w:space="0" w:color="auto"/>
            </w:tcBorders>
            <w:vAlign w:val="center"/>
          </w:tcPr>
          <w:p w:rsidR="00EC17EA" w:rsidRPr="009100B5" w:rsidRDefault="00EC17EA" w:rsidP="00D43C27">
            <w:pPr>
              <w:pStyle w:val="cuatexto"/>
              <w:jc w:val="right"/>
            </w:pPr>
            <w:r>
              <w:t>1</w:t>
            </w:r>
          </w:p>
        </w:tc>
      </w:tr>
      <w:tr w:rsidR="00EC17EA" w:rsidRPr="009100B5" w:rsidTr="00C9451A">
        <w:trPr>
          <w:trHeight w:val="255"/>
          <w:jc w:val="center"/>
        </w:trPr>
        <w:tc>
          <w:tcPr>
            <w:tcW w:w="6863" w:type="dxa"/>
            <w:tcBorders>
              <w:top w:val="single" w:sz="2" w:space="0" w:color="auto"/>
              <w:bottom w:val="single" w:sz="2" w:space="0" w:color="auto"/>
            </w:tcBorders>
            <w:vAlign w:val="center"/>
          </w:tcPr>
          <w:p w:rsidR="00EC17EA" w:rsidRDefault="00EC17EA" w:rsidP="00D43C27">
            <w:pPr>
              <w:pStyle w:val="cuatexto"/>
            </w:pPr>
            <w:r>
              <w:t>Auxiliar administrativo</w:t>
            </w:r>
          </w:p>
        </w:tc>
        <w:tc>
          <w:tcPr>
            <w:tcW w:w="1009" w:type="dxa"/>
            <w:tcBorders>
              <w:top w:val="single" w:sz="2" w:space="0" w:color="auto"/>
              <w:bottom w:val="single" w:sz="2" w:space="0" w:color="auto"/>
            </w:tcBorders>
            <w:vAlign w:val="center"/>
          </w:tcPr>
          <w:p w:rsidR="00EC17EA" w:rsidRDefault="00EC17EA" w:rsidP="00D43C27">
            <w:pPr>
              <w:pStyle w:val="cuatexto"/>
              <w:jc w:val="right"/>
            </w:pPr>
          </w:p>
        </w:tc>
        <w:tc>
          <w:tcPr>
            <w:tcW w:w="971" w:type="dxa"/>
            <w:tcBorders>
              <w:top w:val="single" w:sz="2" w:space="0" w:color="auto"/>
              <w:bottom w:val="single" w:sz="2" w:space="0" w:color="auto"/>
            </w:tcBorders>
            <w:vAlign w:val="center"/>
          </w:tcPr>
          <w:p w:rsidR="00EC17EA" w:rsidRPr="009100B5" w:rsidRDefault="00EC17EA" w:rsidP="00D43C27">
            <w:pPr>
              <w:pStyle w:val="cuatexto"/>
              <w:jc w:val="right"/>
            </w:pPr>
            <w:r>
              <w:t>1</w:t>
            </w:r>
          </w:p>
        </w:tc>
      </w:tr>
      <w:tr w:rsidR="00EC17EA" w:rsidRPr="009100B5" w:rsidTr="00C9451A">
        <w:trPr>
          <w:trHeight w:val="255"/>
          <w:jc w:val="center"/>
        </w:trPr>
        <w:tc>
          <w:tcPr>
            <w:tcW w:w="6863" w:type="dxa"/>
            <w:tcBorders>
              <w:top w:val="single" w:sz="2" w:space="0" w:color="auto"/>
              <w:bottom w:val="single" w:sz="2" w:space="0" w:color="auto"/>
            </w:tcBorders>
            <w:shd w:val="clear" w:color="auto" w:fill="A8CBEE" w:themeFill="accent2" w:themeFillTint="66"/>
            <w:vAlign w:val="center"/>
          </w:tcPr>
          <w:p w:rsidR="00EC17EA" w:rsidRPr="003A6C3F" w:rsidRDefault="00EC17EA" w:rsidP="00D43C27">
            <w:pPr>
              <w:pStyle w:val="cuatexto"/>
              <w:rPr>
                <w:rFonts w:ascii="Arial" w:hAnsi="Arial" w:cs="Arial"/>
                <w:sz w:val="18"/>
                <w:szCs w:val="18"/>
              </w:rPr>
            </w:pPr>
            <w:r w:rsidRPr="003A6C3F">
              <w:rPr>
                <w:rFonts w:ascii="Arial" w:hAnsi="Arial" w:cs="Arial"/>
                <w:sz w:val="18"/>
                <w:szCs w:val="18"/>
              </w:rPr>
              <w:t>Total</w:t>
            </w:r>
          </w:p>
        </w:tc>
        <w:tc>
          <w:tcPr>
            <w:tcW w:w="1009" w:type="dxa"/>
            <w:tcBorders>
              <w:top w:val="single" w:sz="2" w:space="0" w:color="auto"/>
              <w:bottom w:val="single" w:sz="2" w:space="0" w:color="auto"/>
            </w:tcBorders>
            <w:shd w:val="clear" w:color="auto" w:fill="A8CBEE" w:themeFill="accent2" w:themeFillTint="66"/>
            <w:vAlign w:val="center"/>
          </w:tcPr>
          <w:p w:rsidR="00EC17EA" w:rsidRPr="003A6C3F" w:rsidRDefault="00EC17EA" w:rsidP="00D43C27">
            <w:pPr>
              <w:pStyle w:val="cuatexto"/>
              <w:jc w:val="right"/>
              <w:rPr>
                <w:rFonts w:ascii="Arial" w:hAnsi="Arial" w:cs="Arial"/>
                <w:sz w:val="18"/>
                <w:szCs w:val="18"/>
              </w:rPr>
            </w:pPr>
            <w:r>
              <w:rPr>
                <w:rFonts w:ascii="Arial" w:hAnsi="Arial" w:cs="Arial"/>
                <w:sz w:val="18"/>
                <w:szCs w:val="18"/>
              </w:rPr>
              <w:t>7</w:t>
            </w:r>
          </w:p>
        </w:tc>
        <w:tc>
          <w:tcPr>
            <w:tcW w:w="971" w:type="dxa"/>
            <w:tcBorders>
              <w:top w:val="single" w:sz="2" w:space="0" w:color="auto"/>
              <w:bottom w:val="single" w:sz="2" w:space="0" w:color="auto"/>
            </w:tcBorders>
            <w:shd w:val="clear" w:color="auto" w:fill="A8CBEE" w:themeFill="accent2" w:themeFillTint="66"/>
            <w:vAlign w:val="center"/>
          </w:tcPr>
          <w:p w:rsidR="00EC17EA" w:rsidRPr="003A6C3F" w:rsidRDefault="00EC17EA" w:rsidP="00D43C27">
            <w:pPr>
              <w:pStyle w:val="cuatexto"/>
              <w:jc w:val="right"/>
              <w:rPr>
                <w:rFonts w:ascii="Arial" w:hAnsi="Arial" w:cs="Arial"/>
                <w:sz w:val="18"/>
                <w:szCs w:val="18"/>
              </w:rPr>
            </w:pPr>
            <w:r>
              <w:rPr>
                <w:rFonts w:ascii="Arial" w:hAnsi="Arial" w:cs="Arial"/>
                <w:sz w:val="18"/>
                <w:szCs w:val="18"/>
              </w:rPr>
              <w:t>8</w:t>
            </w:r>
          </w:p>
        </w:tc>
      </w:tr>
    </w:tbl>
    <w:p w:rsidR="00EC17EA" w:rsidRPr="00A63248" w:rsidRDefault="00EC17EA" w:rsidP="00E52175">
      <w:pPr>
        <w:pStyle w:val="texto"/>
        <w:tabs>
          <w:tab w:val="clear" w:pos="2835"/>
          <w:tab w:val="clear" w:pos="3969"/>
          <w:tab w:val="clear" w:pos="5103"/>
          <w:tab w:val="clear" w:pos="6237"/>
          <w:tab w:val="clear" w:pos="7371"/>
        </w:tabs>
        <w:spacing w:before="240"/>
        <w:rPr>
          <w:szCs w:val="26"/>
        </w:rPr>
      </w:pPr>
      <w:r w:rsidRPr="00A63248">
        <w:rPr>
          <w:szCs w:val="26"/>
        </w:rPr>
        <w:t>Es decir, se incrementa en una persona el número de empleados de la sección que se corresponde con un nuevo gestor de hacienda.</w:t>
      </w:r>
    </w:p>
    <w:p w:rsidR="00B14699" w:rsidRPr="00A63248" w:rsidRDefault="00B14699" w:rsidP="009D7570">
      <w:pPr>
        <w:pStyle w:val="texto"/>
        <w:tabs>
          <w:tab w:val="clear" w:pos="2835"/>
          <w:tab w:val="clear" w:pos="3969"/>
          <w:tab w:val="clear" w:pos="5103"/>
          <w:tab w:val="clear" w:pos="6237"/>
          <w:tab w:val="clear" w:pos="7371"/>
        </w:tabs>
        <w:rPr>
          <w:szCs w:val="26"/>
        </w:rPr>
      </w:pPr>
      <w:r w:rsidRPr="00A63248">
        <w:rPr>
          <w:szCs w:val="26"/>
        </w:rPr>
        <w:t>Por otra parte, la sociedad pública T</w:t>
      </w:r>
      <w:r w:rsidR="00C9451A">
        <w:rPr>
          <w:szCs w:val="26"/>
        </w:rPr>
        <w:t>racasa</w:t>
      </w:r>
      <w:r w:rsidRPr="00A63248">
        <w:rPr>
          <w:szCs w:val="26"/>
        </w:rPr>
        <w:t xml:space="preserve"> (antes G</w:t>
      </w:r>
      <w:r w:rsidR="00C9451A">
        <w:rPr>
          <w:szCs w:val="26"/>
        </w:rPr>
        <w:t>edesa</w:t>
      </w:r>
      <w:r w:rsidRPr="00A63248">
        <w:rPr>
          <w:szCs w:val="26"/>
        </w:rPr>
        <w:t>) presta al Servicio de Recaudación</w:t>
      </w:r>
      <w:r w:rsidR="00521CE7" w:rsidRPr="00A63248">
        <w:rPr>
          <w:szCs w:val="26"/>
        </w:rPr>
        <w:t xml:space="preserve"> y al Servicio de Análisis, Planificación y Formación</w:t>
      </w:r>
      <w:r w:rsidRPr="00A63248">
        <w:rPr>
          <w:szCs w:val="26"/>
        </w:rPr>
        <w:t>, mediante la oportuna encomienda, la realización de tareas de depuración de saldos, c</w:t>
      </w:r>
      <w:r w:rsidRPr="00A63248">
        <w:rPr>
          <w:szCs w:val="26"/>
        </w:rPr>
        <w:t>o</w:t>
      </w:r>
      <w:r w:rsidRPr="00A63248">
        <w:rPr>
          <w:szCs w:val="26"/>
        </w:rPr>
        <w:t xml:space="preserve">rrección y revisión de registros, gestión de incumplimientos de aplazamientos, gestión </w:t>
      </w:r>
      <w:r w:rsidR="00521CE7" w:rsidRPr="00A63248">
        <w:rPr>
          <w:szCs w:val="26"/>
        </w:rPr>
        <w:t>y tramitación de prescripciones, insolvencias y derivaciones de respo</w:t>
      </w:r>
      <w:r w:rsidR="00521CE7" w:rsidRPr="00A63248">
        <w:rPr>
          <w:szCs w:val="26"/>
        </w:rPr>
        <w:t>n</w:t>
      </w:r>
      <w:r w:rsidR="00521CE7" w:rsidRPr="00A63248">
        <w:rPr>
          <w:szCs w:val="26"/>
        </w:rPr>
        <w:t xml:space="preserve">sabilidad, </w:t>
      </w:r>
      <w:r w:rsidRPr="00A63248">
        <w:rPr>
          <w:szCs w:val="26"/>
        </w:rPr>
        <w:t>notificacio</w:t>
      </w:r>
      <w:r w:rsidR="00521CE7" w:rsidRPr="00A63248">
        <w:rPr>
          <w:szCs w:val="26"/>
        </w:rPr>
        <w:t xml:space="preserve">nes y reparto, </w:t>
      </w:r>
      <w:r w:rsidR="006436BC" w:rsidRPr="00A63248">
        <w:rPr>
          <w:szCs w:val="26"/>
        </w:rPr>
        <w:t xml:space="preserve">certificación de deudas para el inicio de los procedimientos concursales, </w:t>
      </w:r>
      <w:r w:rsidRPr="00A63248">
        <w:rPr>
          <w:szCs w:val="26"/>
        </w:rPr>
        <w:t>localización de deudores, gestión administrativa y personal encaminada a dicho fin y, en su caso, investigación de los bienes y d</w:t>
      </w:r>
      <w:r w:rsidRPr="00A63248">
        <w:rPr>
          <w:szCs w:val="26"/>
        </w:rPr>
        <w:t>e</w:t>
      </w:r>
      <w:r w:rsidRPr="00A63248">
        <w:rPr>
          <w:szCs w:val="26"/>
        </w:rPr>
        <w:t xml:space="preserve">rechos de los deudores y tramitación de recursos y subastas. El coste </w:t>
      </w:r>
      <w:r w:rsidR="00D361BB" w:rsidRPr="00A63248">
        <w:rPr>
          <w:szCs w:val="26"/>
        </w:rPr>
        <w:t>anual de esta encomienda se ubica en torno al millón de euros; en</w:t>
      </w:r>
      <w:r w:rsidR="00521CE7" w:rsidRPr="00A63248">
        <w:rPr>
          <w:szCs w:val="26"/>
        </w:rPr>
        <w:t xml:space="preserve"> 2015 </w:t>
      </w:r>
      <w:r w:rsidR="00D361BB" w:rsidRPr="00A63248">
        <w:rPr>
          <w:szCs w:val="26"/>
        </w:rPr>
        <w:t>el gasto de la misma ha sido de</w:t>
      </w:r>
      <w:r w:rsidR="00521CE7" w:rsidRPr="00A63248">
        <w:rPr>
          <w:szCs w:val="26"/>
        </w:rPr>
        <w:t xml:space="preserve"> 1,16 millones</w:t>
      </w:r>
      <w:r w:rsidR="00D36A75">
        <w:rPr>
          <w:szCs w:val="26"/>
        </w:rPr>
        <w:t>, de los que corresponden al Servicio de Reca</w:t>
      </w:r>
      <w:r w:rsidR="00D36A75">
        <w:rPr>
          <w:szCs w:val="26"/>
        </w:rPr>
        <w:t>u</w:t>
      </w:r>
      <w:r w:rsidR="00D36A75">
        <w:rPr>
          <w:szCs w:val="26"/>
        </w:rPr>
        <w:t>dación un total de 0,87 millones.</w:t>
      </w:r>
      <w:r w:rsidRPr="00A63248">
        <w:rPr>
          <w:szCs w:val="26"/>
        </w:rPr>
        <w:t xml:space="preserve"> </w:t>
      </w:r>
    </w:p>
    <w:p w:rsidR="00553358" w:rsidRPr="00A63248" w:rsidRDefault="001C0E1D" w:rsidP="00135B2C">
      <w:pPr>
        <w:pStyle w:val="texto"/>
        <w:tabs>
          <w:tab w:val="clear" w:pos="2835"/>
          <w:tab w:val="clear" w:pos="3969"/>
          <w:tab w:val="clear" w:pos="5103"/>
          <w:tab w:val="clear" w:pos="6237"/>
          <w:tab w:val="clear" w:pos="7371"/>
        </w:tabs>
        <w:rPr>
          <w:szCs w:val="26"/>
        </w:rPr>
      </w:pPr>
      <w:r w:rsidRPr="00A63248">
        <w:rPr>
          <w:szCs w:val="26"/>
        </w:rPr>
        <w:t>Las prescripciones de oficio se inician a propuesta del Servicio de Recaud</w:t>
      </w:r>
      <w:r w:rsidRPr="00A63248">
        <w:rPr>
          <w:szCs w:val="26"/>
        </w:rPr>
        <w:t>a</w:t>
      </w:r>
      <w:r w:rsidRPr="00A63248">
        <w:rPr>
          <w:szCs w:val="26"/>
        </w:rPr>
        <w:t>ción y con la colaboración de T</w:t>
      </w:r>
      <w:r w:rsidR="00C9451A">
        <w:rPr>
          <w:szCs w:val="26"/>
        </w:rPr>
        <w:t>racasa</w:t>
      </w:r>
      <w:r w:rsidRPr="00A63248">
        <w:rPr>
          <w:szCs w:val="26"/>
        </w:rPr>
        <w:t xml:space="preserve">, se realizan </w:t>
      </w:r>
      <w:r w:rsidR="00A77AD8" w:rsidRPr="00A63248">
        <w:rPr>
          <w:szCs w:val="26"/>
        </w:rPr>
        <w:t>indagaciones</w:t>
      </w:r>
      <w:r w:rsidRPr="00A63248">
        <w:rPr>
          <w:szCs w:val="26"/>
        </w:rPr>
        <w:t xml:space="preserve"> periódic</w:t>
      </w:r>
      <w:r w:rsidR="00A77AD8" w:rsidRPr="00A63248">
        <w:rPr>
          <w:szCs w:val="26"/>
        </w:rPr>
        <w:t>a</w:t>
      </w:r>
      <w:r w:rsidRPr="00A63248">
        <w:rPr>
          <w:szCs w:val="26"/>
        </w:rPr>
        <w:t xml:space="preserve">s para </w:t>
      </w:r>
      <w:r w:rsidRPr="00A63248">
        <w:rPr>
          <w:szCs w:val="26"/>
        </w:rPr>
        <w:lastRenderedPageBreak/>
        <w:t>obtener aquellas cuentas elementales</w:t>
      </w:r>
      <w:r w:rsidR="000B1AB6">
        <w:rPr>
          <w:rStyle w:val="Refdenotaalpie"/>
          <w:szCs w:val="26"/>
        </w:rPr>
        <w:footnoteReference w:id="1"/>
      </w:r>
      <w:r w:rsidRPr="00A63248">
        <w:rPr>
          <w:szCs w:val="26"/>
        </w:rPr>
        <w:t xml:space="preserve"> sin actuaciones administrativas desde h</w:t>
      </w:r>
      <w:r w:rsidRPr="00A63248">
        <w:rPr>
          <w:szCs w:val="26"/>
        </w:rPr>
        <w:t>a</w:t>
      </w:r>
      <w:r w:rsidRPr="00A63248">
        <w:rPr>
          <w:szCs w:val="26"/>
        </w:rPr>
        <w:t xml:space="preserve">ce más de </w:t>
      </w:r>
      <w:r w:rsidR="00135B2C" w:rsidRPr="00A63248">
        <w:rPr>
          <w:szCs w:val="26"/>
        </w:rPr>
        <w:t>cuatro</w:t>
      </w:r>
      <w:r w:rsidRPr="00A63248">
        <w:rPr>
          <w:szCs w:val="26"/>
        </w:rPr>
        <w:t xml:space="preserve"> años. </w:t>
      </w:r>
      <w:r w:rsidR="00553358" w:rsidRPr="00A63248">
        <w:rPr>
          <w:szCs w:val="26"/>
        </w:rPr>
        <w:t>Previamente, se han realizado las siguientes actuaci</w:t>
      </w:r>
      <w:r w:rsidR="00553358" w:rsidRPr="00A63248">
        <w:rPr>
          <w:szCs w:val="26"/>
        </w:rPr>
        <w:t>o</w:t>
      </w:r>
      <w:r w:rsidR="00553358" w:rsidRPr="00A63248">
        <w:rPr>
          <w:szCs w:val="26"/>
        </w:rPr>
        <w:t>nes:</w:t>
      </w:r>
    </w:p>
    <w:p w:rsidR="00553358" w:rsidRPr="00A63248" w:rsidRDefault="00553358" w:rsidP="005533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 xml:space="preserve">Se ha comprobado la inexistencia de bienes susceptibles para el embargo. </w:t>
      </w:r>
      <w:bookmarkStart w:id="10" w:name="tm_385744945"/>
      <w:bookmarkEnd w:id="10"/>
    </w:p>
    <w:p w:rsidR="00553358" w:rsidRPr="00A63248" w:rsidRDefault="00553358" w:rsidP="005533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No existen créditos a favor del deudor compensables.</w:t>
      </w:r>
    </w:p>
    <w:p w:rsidR="00553358" w:rsidRPr="00A63248" w:rsidRDefault="00553358" w:rsidP="005533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No ha resultado efectiva la derivación de responsabilidad.</w:t>
      </w:r>
    </w:p>
    <w:p w:rsidR="00553358" w:rsidRPr="00A63248" w:rsidRDefault="00553358" w:rsidP="0055335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Ha transcurrido el plazo legal de cuatro años desde la última notificación.</w:t>
      </w:r>
    </w:p>
    <w:p w:rsidR="001C0E1D" w:rsidRPr="00A63248" w:rsidRDefault="001C0E1D" w:rsidP="001C0E1D">
      <w:pPr>
        <w:pStyle w:val="texto"/>
        <w:tabs>
          <w:tab w:val="clear" w:pos="2835"/>
          <w:tab w:val="clear" w:pos="3969"/>
          <w:tab w:val="clear" w:pos="5103"/>
          <w:tab w:val="clear" w:pos="6237"/>
          <w:tab w:val="clear" w:pos="7371"/>
        </w:tabs>
        <w:rPr>
          <w:szCs w:val="26"/>
        </w:rPr>
      </w:pPr>
      <w:r w:rsidRPr="00A63248">
        <w:rPr>
          <w:szCs w:val="26"/>
        </w:rPr>
        <w:t>Como regla general, anualmente, se instruyen cuatro expedientes colectivos de prescripción de oficio, dos para la vía de apremio, uno para voluntaria y otro para saldos negativos</w:t>
      </w:r>
      <w:r w:rsidR="00135B2C" w:rsidRPr="00A63248">
        <w:rPr>
          <w:szCs w:val="26"/>
        </w:rPr>
        <w:t>.</w:t>
      </w:r>
    </w:p>
    <w:p w:rsidR="001C0E1D" w:rsidRPr="00A63248" w:rsidRDefault="001C0E1D" w:rsidP="006256FE">
      <w:pPr>
        <w:pStyle w:val="texto"/>
        <w:tabs>
          <w:tab w:val="clear" w:pos="2835"/>
          <w:tab w:val="clear" w:pos="3969"/>
          <w:tab w:val="clear" w:pos="5103"/>
          <w:tab w:val="clear" w:pos="6237"/>
          <w:tab w:val="clear" w:pos="7371"/>
        </w:tabs>
        <w:spacing w:after="360"/>
        <w:rPr>
          <w:szCs w:val="26"/>
        </w:rPr>
      </w:pPr>
      <w:r w:rsidRPr="00A63248">
        <w:rPr>
          <w:szCs w:val="26"/>
        </w:rPr>
        <w:t>La Sección emite un informe propuesta  justificando la prescripción de las deudas que se relacionan en un anexo, con el visto bueno del Director del Se</w:t>
      </w:r>
      <w:r w:rsidRPr="00A63248">
        <w:rPr>
          <w:szCs w:val="26"/>
        </w:rPr>
        <w:t>r</w:t>
      </w:r>
      <w:r w:rsidRPr="00A63248">
        <w:rPr>
          <w:szCs w:val="26"/>
        </w:rPr>
        <w:t>vicio de Recaudación. Finalmente el expediente es aprobado por el Director Gerente de la HTN mediante Resolución, previa fiscalización de Intervención.</w:t>
      </w:r>
    </w:p>
    <w:p w:rsidR="008A3F04" w:rsidRPr="00A63248" w:rsidRDefault="008A3F04" w:rsidP="001C7C66">
      <w:pPr>
        <w:pStyle w:val="atitulo3"/>
      </w:pPr>
      <w:r w:rsidRPr="00A63248">
        <w:t>Tratamiento contable de la cancelación de derechos</w:t>
      </w:r>
    </w:p>
    <w:p w:rsidR="008A3F04" w:rsidRPr="00A63248" w:rsidRDefault="008A3F04" w:rsidP="008A3F04">
      <w:pPr>
        <w:pStyle w:val="texto"/>
        <w:tabs>
          <w:tab w:val="clear" w:pos="2835"/>
          <w:tab w:val="clear" w:pos="3969"/>
          <w:tab w:val="clear" w:pos="5103"/>
          <w:tab w:val="clear" w:pos="6237"/>
          <w:tab w:val="clear" w:pos="7371"/>
        </w:tabs>
        <w:rPr>
          <w:szCs w:val="26"/>
        </w:rPr>
      </w:pPr>
      <w:r w:rsidRPr="00A63248">
        <w:rPr>
          <w:szCs w:val="26"/>
        </w:rPr>
        <w:t xml:space="preserve">La anulación y la cancelación de los derechos en la contabilidad pública se produce cuando, en virtud de </w:t>
      </w:r>
      <w:r w:rsidR="00B870D6" w:rsidRPr="00A63248">
        <w:rPr>
          <w:szCs w:val="26"/>
        </w:rPr>
        <w:t xml:space="preserve">los correspondientes </w:t>
      </w:r>
      <w:r w:rsidRPr="00A63248">
        <w:rPr>
          <w:szCs w:val="26"/>
        </w:rPr>
        <w:t>actos administrativos, pr</w:t>
      </w:r>
      <w:r w:rsidRPr="00A63248">
        <w:rPr>
          <w:szCs w:val="26"/>
        </w:rPr>
        <w:t>o</w:t>
      </w:r>
      <w:r w:rsidRPr="00A63248">
        <w:rPr>
          <w:szCs w:val="26"/>
        </w:rPr>
        <w:t>cede dar de baja total o parcialmente un derecho presupuestario reconocido pendiente de cobro, ya sea del presupuesto corriente o presupuesto ya cerrado.</w:t>
      </w:r>
    </w:p>
    <w:p w:rsidR="008A3F04" w:rsidRPr="00A63248" w:rsidRDefault="008A3F04" w:rsidP="008A3F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Anulación: hace referencia a anulaciones de liquidaciones, aplazamientos, fraccionamientos y devoluciones de ingresos.</w:t>
      </w:r>
    </w:p>
    <w:p w:rsidR="008A3F04" w:rsidRPr="00A63248" w:rsidRDefault="008A3F04" w:rsidP="008A3F04">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Cancelación: por diversas vías: cobros en especie, insolvencias de los de</w:t>
      </w:r>
      <w:r w:rsidRPr="00A63248">
        <w:rPr>
          <w:szCs w:val="26"/>
        </w:rPr>
        <w:t>u</w:t>
      </w:r>
      <w:r w:rsidRPr="00A63248">
        <w:rPr>
          <w:szCs w:val="26"/>
        </w:rPr>
        <w:t>dores y prescripción de los derechos.</w:t>
      </w:r>
    </w:p>
    <w:p w:rsidR="000A7623" w:rsidRPr="00A63248" w:rsidRDefault="008A3F04" w:rsidP="000A7623">
      <w:pPr>
        <w:pStyle w:val="texto"/>
        <w:tabs>
          <w:tab w:val="clear" w:pos="2835"/>
          <w:tab w:val="clear" w:pos="3969"/>
          <w:tab w:val="clear" w:pos="5103"/>
          <w:tab w:val="clear" w:pos="6237"/>
          <w:tab w:val="clear" w:pos="7371"/>
        </w:tabs>
        <w:rPr>
          <w:szCs w:val="26"/>
        </w:rPr>
      </w:pPr>
      <w:r w:rsidRPr="00A63248">
        <w:rPr>
          <w:szCs w:val="26"/>
        </w:rPr>
        <w:t>Las insolvencias, en contabilidad general, se formalizan en la dotación de una provisión para insolvencias cuyo importe anual se realiza en función de unos porcentajes. Desde la sección de procedimientos especiales se lleva</w:t>
      </w:r>
      <w:r w:rsidR="00B870D6" w:rsidRPr="00A63248">
        <w:rPr>
          <w:szCs w:val="26"/>
        </w:rPr>
        <w:t>, por su parte,</w:t>
      </w:r>
      <w:r w:rsidRPr="00A63248">
        <w:rPr>
          <w:szCs w:val="26"/>
        </w:rPr>
        <w:t xml:space="preserve"> un seguimiento de deudores de dudoso cobro, como deudores fallidos, aunque no todos tengan la declaración formal de fallido. Su inclusión en dud</w:t>
      </w:r>
      <w:r w:rsidRPr="00A63248">
        <w:rPr>
          <w:szCs w:val="26"/>
        </w:rPr>
        <w:t>o</w:t>
      </w:r>
      <w:r w:rsidRPr="00A63248">
        <w:rPr>
          <w:szCs w:val="26"/>
        </w:rPr>
        <w:t>so cobro se hace a propuesta del gesto</w:t>
      </w:r>
      <w:r w:rsidR="000A7623" w:rsidRPr="00A63248">
        <w:rPr>
          <w:szCs w:val="26"/>
        </w:rPr>
        <w:t>r.</w:t>
      </w:r>
    </w:p>
    <w:p w:rsidR="000A7623" w:rsidRPr="00A63248" w:rsidRDefault="008A3F04" w:rsidP="00507B7E">
      <w:pPr>
        <w:pStyle w:val="texto"/>
        <w:tabs>
          <w:tab w:val="clear" w:pos="2835"/>
          <w:tab w:val="clear" w:pos="3969"/>
          <w:tab w:val="clear" w:pos="5103"/>
          <w:tab w:val="clear" w:pos="6237"/>
          <w:tab w:val="clear" w:pos="7371"/>
        </w:tabs>
        <w:rPr>
          <w:szCs w:val="26"/>
        </w:rPr>
      </w:pPr>
      <w:r w:rsidRPr="00A63248">
        <w:rPr>
          <w:szCs w:val="26"/>
        </w:rPr>
        <w:t>Los d</w:t>
      </w:r>
      <w:r w:rsidR="000A7623" w:rsidRPr="00A63248">
        <w:rPr>
          <w:szCs w:val="26"/>
        </w:rPr>
        <w:t>erechos</w:t>
      </w:r>
      <w:r w:rsidRPr="00A63248">
        <w:rPr>
          <w:szCs w:val="26"/>
        </w:rPr>
        <w:t xml:space="preserve"> prescritos serán dados de baja en las respectivas cuentas</w:t>
      </w:r>
      <w:r w:rsidR="000A7623" w:rsidRPr="00A63248">
        <w:rPr>
          <w:szCs w:val="26"/>
        </w:rPr>
        <w:t xml:space="preserve"> de d</w:t>
      </w:r>
      <w:r w:rsidR="000A7623" w:rsidRPr="00A63248">
        <w:rPr>
          <w:szCs w:val="26"/>
        </w:rPr>
        <w:t>e</w:t>
      </w:r>
      <w:r w:rsidR="000A7623" w:rsidRPr="00A63248">
        <w:rPr>
          <w:szCs w:val="26"/>
        </w:rPr>
        <w:t>rechos presupuestarios de ejercicios cerrados con cargo a la cuenta de result</w:t>
      </w:r>
      <w:r w:rsidR="000A7623" w:rsidRPr="00A63248">
        <w:rPr>
          <w:szCs w:val="26"/>
        </w:rPr>
        <w:t>a</w:t>
      </w:r>
      <w:r w:rsidR="000A7623" w:rsidRPr="00A63248">
        <w:rPr>
          <w:szCs w:val="26"/>
        </w:rPr>
        <w:t>dos</w:t>
      </w:r>
      <w:r w:rsidRPr="00A63248">
        <w:rPr>
          <w:szCs w:val="26"/>
        </w:rPr>
        <w:t>, previa tramitación del oportuno expediente.</w:t>
      </w:r>
      <w:r w:rsidR="00507B7E">
        <w:rPr>
          <w:szCs w:val="26"/>
        </w:rPr>
        <w:t xml:space="preserve"> En 2015, est</w:t>
      </w:r>
      <w:r w:rsidR="005957C8">
        <w:rPr>
          <w:szCs w:val="26"/>
        </w:rPr>
        <w:t>e cargo</w:t>
      </w:r>
      <w:r w:rsidR="00507B7E">
        <w:rPr>
          <w:szCs w:val="26"/>
        </w:rPr>
        <w:t xml:space="preserve"> asciende a </w:t>
      </w:r>
      <w:r w:rsidR="000A7623" w:rsidRPr="00A63248">
        <w:rPr>
          <w:szCs w:val="26"/>
        </w:rPr>
        <w:t>50,61 millones</w:t>
      </w:r>
      <w:r w:rsidR="00507B7E">
        <w:rPr>
          <w:szCs w:val="26"/>
        </w:rPr>
        <w:t xml:space="preserve">, </w:t>
      </w:r>
      <w:r w:rsidR="000A7623" w:rsidRPr="00A63248">
        <w:rPr>
          <w:szCs w:val="26"/>
        </w:rPr>
        <w:t xml:space="preserve">importe </w:t>
      </w:r>
      <w:r w:rsidR="00507B7E">
        <w:rPr>
          <w:szCs w:val="26"/>
        </w:rPr>
        <w:t xml:space="preserve">que </w:t>
      </w:r>
      <w:r w:rsidR="000A7623" w:rsidRPr="00A63248">
        <w:rPr>
          <w:szCs w:val="26"/>
        </w:rPr>
        <w:t>refleja</w:t>
      </w:r>
      <w:r w:rsidR="00A47360" w:rsidRPr="00A63248">
        <w:rPr>
          <w:szCs w:val="26"/>
        </w:rPr>
        <w:t xml:space="preserve"> fundamentalmente</w:t>
      </w:r>
      <w:r w:rsidRPr="00A63248">
        <w:rPr>
          <w:szCs w:val="26"/>
        </w:rPr>
        <w:t xml:space="preserve"> las prescripciones y </w:t>
      </w:r>
      <w:r w:rsidR="006436BC" w:rsidRPr="00A63248">
        <w:rPr>
          <w:szCs w:val="26"/>
        </w:rPr>
        <w:t>qu</w:t>
      </w:r>
      <w:r w:rsidR="006436BC" w:rsidRPr="00A63248">
        <w:rPr>
          <w:szCs w:val="26"/>
        </w:rPr>
        <w:t>i</w:t>
      </w:r>
      <w:r w:rsidR="006436BC" w:rsidRPr="00A63248">
        <w:rPr>
          <w:szCs w:val="26"/>
        </w:rPr>
        <w:lastRenderedPageBreak/>
        <w:t>tas</w:t>
      </w:r>
      <w:r w:rsidRPr="00A63248">
        <w:rPr>
          <w:szCs w:val="26"/>
        </w:rPr>
        <w:t xml:space="preserve"> del año</w:t>
      </w:r>
      <w:r w:rsidR="000A7623" w:rsidRPr="00A63248">
        <w:rPr>
          <w:szCs w:val="26"/>
        </w:rPr>
        <w:t>, destacando que prácticamente el 90 por ciento de la misma estaba en la agencia ejecutiva.</w:t>
      </w:r>
      <w:r w:rsidRPr="00A63248">
        <w:rPr>
          <w:szCs w:val="26"/>
        </w:rPr>
        <w:t xml:space="preserve"> </w:t>
      </w:r>
    </w:p>
    <w:p w:rsidR="008A3F04" w:rsidRPr="00A63248" w:rsidRDefault="000A7623" w:rsidP="00B509C2">
      <w:pPr>
        <w:pStyle w:val="texto"/>
        <w:tabs>
          <w:tab w:val="clear" w:pos="2835"/>
          <w:tab w:val="clear" w:pos="3969"/>
          <w:tab w:val="clear" w:pos="5103"/>
          <w:tab w:val="clear" w:pos="6237"/>
          <w:tab w:val="clear" w:pos="7371"/>
        </w:tabs>
        <w:rPr>
          <w:szCs w:val="26"/>
        </w:rPr>
      </w:pPr>
      <w:r w:rsidRPr="00A63248">
        <w:rPr>
          <w:szCs w:val="26"/>
        </w:rPr>
        <w:t xml:space="preserve">En la Contabilidad Auxiliar de Terceros (CAT), </w:t>
      </w:r>
      <w:r w:rsidR="00B509C2" w:rsidRPr="00A63248">
        <w:rPr>
          <w:szCs w:val="26"/>
        </w:rPr>
        <w:t>se aplican los apuntes tipo 094,</w:t>
      </w:r>
      <w:r w:rsidR="00D52695" w:rsidRPr="00A63248">
        <w:rPr>
          <w:szCs w:val="26"/>
        </w:rPr>
        <w:t xml:space="preserve">095, </w:t>
      </w:r>
      <w:r w:rsidR="00B509C2" w:rsidRPr="00A63248">
        <w:rPr>
          <w:szCs w:val="26"/>
        </w:rPr>
        <w:t>096 y 097</w:t>
      </w:r>
      <w:r w:rsidRPr="00A63248">
        <w:rPr>
          <w:szCs w:val="26"/>
        </w:rPr>
        <w:t>.</w:t>
      </w:r>
      <w:bookmarkStart w:id="11" w:name="tm_385746732"/>
      <w:r w:rsidR="008A3F04" w:rsidRPr="00A63248">
        <w:rPr>
          <w:szCs w:val="26"/>
        </w:rPr>
        <w:t xml:space="preserve"> </w:t>
      </w:r>
      <w:bookmarkEnd w:id="11"/>
      <w:r w:rsidR="00D52695" w:rsidRPr="00A63248">
        <w:rPr>
          <w:szCs w:val="26"/>
        </w:rPr>
        <w:t>Los tipos</w:t>
      </w:r>
      <w:r w:rsidR="00B509C2" w:rsidRPr="00A63248">
        <w:rPr>
          <w:szCs w:val="26"/>
        </w:rPr>
        <w:t xml:space="preserve"> de apunte 094</w:t>
      </w:r>
      <w:r w:rsidR="00D52695" w:rsidRPr="00A63248">
        <w:rPr>
          <w:szCs w:val="26"/>
        </w:rPr>
        <w:t xml:space="preserve"> y 095</w:t>
      </w:r>
      <w:r w:rsidR="00B509C2" w:rsidRPr="00A63248">
        <w:rPr>
          <w:szCs w:val="26"/>
        </w:rPr>
        <w:t xml:space="preserve"> se aplica</w:t>
      </w:r>
      <w:r w:rsidR="00D52695" w:rsidRPr="00A63248">
        <w:rPr>
          <w:szCs w:val="26"/>
        </w:rPr>
        <w:t>n</w:t>
      </w:r>
      <w:r w:rsidR="00B509C2" w:rsidRPr="00A63248">
        <w:rPr>
          <w:szCs w:val="26"/>
        </w:rPr>
        <w:t xml:space="preserve"> básicamente para corrección de errores y pequeños ajustes; e</w:t>
      </w:r>
      <w:r w:rsidR="008A3F04" w:rsidRPr="00A63248">
        <w:rPr>
          <w:szCs w:val="26"/>
        </w:rPr>
        <w:t>l ti</w:t>
      </w:r>
      <w:r w:rsidR="00B509C2" w:rsidRPr="00A63248">
        <w:rPr>
          <w:szCs w:val="26"/>
        </w:rPr>
        <w:t xml:space="preserve">po </w:t>
      </w:r>
      <w:r w:rsidR="008A3F04" w:rsidRPr="00A63248">
        <w:rPr>
          <w:szCs w:val="26"/>
        </w:rPr>
        <w:t>096 se reserva</w:t>
      </w:r>
      <w:r w:rsidRPr="00A63248">
        <w:rPr>
          <w:szCs w:val="26"/>
        </w:rPr>
        <w:t>, con carácter general,</w:t>
      </w:r>
      <w:r w:rsidR="008A3F04" w:rsidRPr="00A63248">
        <w:rPr>
          <w:szCs w:val="26"/>
        </w:rPr>
        <w:t xml:space="preserve"> para las quitas</w:t>
      </w:r>
      <w:r w:rsidR="00B870D6" w:rsidRPr="00A63248">
        <w:rPr>
          <w:szCs w:val="26"/>
        </w:rPr>
        <w:t xml:space="preserve"> de</w:t>
      </w:r>
      <w:r w:rsidR="008A3F04" w:rsidRPr="00A63248">
        <w:rPr>
          <w:szCs w:val="26"/>
        </w:rPr>
        <w:t xml:space="preserve"> aquellos deudores que se encuentran en concurso de acreedores y con quien se ha suscrito un convenio de espera.</w:t>
      </w:r>
      <w:r w:rsidR="00A47360" w:rsidRPr="00A63248">
        <w:rPr>
          <w:szCs w:val="26"/>
        </w:rPr>
        <w:t xml:space="preserve"> </w:t>
      </w:r>
      <w:r w:rsidR="00B509C2" w:rsidRPr="00A63248">
        <w:rPr>
          <w:szCs w:val="26"/>
        </w:rPr>
        <w:t xml:space="preserve">El </w:t>
      </w:r>
      <w:r w:rsidR="008A3F04" w:rsidRPr="00A63248">
        <w:rPr>
          <w:szCs w:val="26"/>
        </w:rPr>
        <w:t>apunte 097 r</w:t>
      </w:r>
      <w:r w:rsidR="008A3F04" w:rsidRPr="00A63248">
        <w:rPr>
          <w:szCs w:val="26"/>
        </w:rPr>
        <w:t>e</w:t>
      </w:r>
      <w:r w:rsidR="008A3F04" w:rsidRPr="00A63248">
        <w:rPr>
          <w:szCs w:val="26"/>
        </w:rPr>
        <w:t>coge las prescripciones de oficio, generalmente deudas en apremio</w:t>
      </w:r>
      <w:r w:rsidR="00523064" w:rsidRPr="00A63248">
        <w:rPr>
          <w:szCs w:val="26"/>
        </w:rPr>
        <w:t>, una vez realizadas</w:t>
      </w:r>
      <w:r w:rsidR="008A3F04" w:rsidRPr="00A63248">
        <w:rPr>
          <w:szCs w:val="26"/>
        </w:rPr>
        <w:t xml:space="preserve"> todas las actuaciones </w:t>
      </w:r>
      <w:r w:rsidR="00523064" w:rsidRPr="00A63248">
        <w:rPr>
          <w:szCs w:val="26"/>
        </w:rPr>
        <w:t>precisas y transcurridos cuatro años sin resu</w:t>
      </w:r>
      <w:r w:rsidR="00523064" w:rsidRPr="00A63248">
        <w:rPr>
          <w:szCs w:val="26"/>
        </w:rPr>
        <w:t>l</w:t>
      </w:r>
      <w:r w:rsidR="00523064" w:rsidRPr="00A63248">
        <w:rPr>
          <w:szCs w:val="26"/>
        </w:rPr>
        <w:t>tados positivos</w:t>
      </w:r>
      <w:r w:rsidR="005957C8">
        <w:rPr>
          <w:szCs w:val="26"/>
        </w:rPr>
        <w:t xml:space="preserve"> desde la últim</w:t>
      </w:r>
      <w:r w:rsidR="00E948E0">
        <w:rPr>
          <w:szCs w:val="26"/>
        </w:rPr>
        <w:t>a</w:t>
      </w:r>
      <w:r w:rsidR="005957C8">
        <w:rPr>
          <w:szCs w:val="26"/>
        </w:rPr>
        <w:t xml:space="preserve"> actuación realizada en el procedimiento</w:t>
      </w:r>
      <w:r w:rsidR="00523064" w:rsidRPr="00A63248">
        <w:rPr>
          <w:szCs w:val="26"/>
        </w:rPr>
        <w:t xml:space="preserve"> de r</w:t>
      </w:r>
      <w:r w:rsidR="00523064" w:rsidRPr="00A63248">
        <w:rPr>
          <w:szCs w:val="26"/>
        </w:rPr>
        <w:t>e</w:t>
      </w:r>
      <w:r w:rsidR="00523064" w:rsidRPr="00A63248">
        <w:rPr>
          <w:szCs w:val="26"/>
        </w:rPr>
        <w:t>caudación.</w:t>
      </w:r>
    </w:p>
    <w:p w:rsidR="008A3F04" w:rsidRPr="00A63248" w:rsidRDefault="00B04CE6" w:rsidP="00A63248">
      <w:pPr>
        <w:pStyle w:val="texto"/>
        <w:tabs>
          <w:tab w:val="clear" w:pos="2835"/>
          <w:tab w:val="clear" w:pos="3969"/>
          <w:tab w:val="clear" w:pos="5103"/>
          <w:tab w:val="clear" w:pos="6237"/>
          <w:tab w:val="clear" w:pos="7371"/>
        </w:tabs>
        <w:spacing w:after="240"/>
        <w:rPr>
          <w:szCs w:val="26"/>
        </w:rPr>
      </w:pPr>
      <w:r w:rsidRPr="00A63248">
        <w:rPr>
          <w:szCs w:val="26"/>
        </w:rPr>
        <w:t>El tratamiento contable de las</w:t>
      </w:r>
      <w:r w:rsidR="008A3F04" w:rsidRPr="00A63248">
        <w:rPr>
          <w:szCs w:val="26"/>
        </w:rPr>
        <w:t xml:space="preserve"> prescripci</w:t>
      </w:r>
      <w:r w:rsidR="003F13E8" w:rsidRPr="00A63248">
        <w:rPr>
          <w:szCs w:val="26"/>
        </w:rPr>
        <w:t>ones</w:t>
      </w:r>
      <w:r w:rsidR="008A3F04" w:rsidRPr="00A63248">
        <w:rPr>
          <w:szCs w:val="26"/>
        </w:rPr>
        <w:t xml:space="preserve"> finaliza dando de baja en el CAT las cuentas elementales que recogen la deuda prescrita. </w:t>
      </w:r>
    </w:p>
    <w:p w:rsidR="001300A7" w:rsidRDefault="001300A7">
      <w:pPr>
        <w:spacing w:after="0"/>
        <w:ind w:firstLine="0"/>
        <w:jc w:val="left"/>
        <w:rPr>
          <w:rFonts w:ascii="Arial" w:hAnsi="Arial"/>
          <w:b/>
          <w:color w:val="000000"/>
          <w:kern w:val="28"/>
          <w:sz w:val="25"/>
          <w:szCs w:val="26"/>
        </w:rPr>
      </w:pPr>
      <w:r>
        <w:br w:type="page"/>
      </w:r>
    </w:p>
    <w:p w:rsidR="001C7C66" w:rsidRDefault="001C7C66" w:rsidP="001C7C66">
      <w:pPr>
        <w:pStyle w:val="atitulo1"/>
      </w:pPr>
      <w:bookmarkStart w:id="12" w:name="_Toc465150102"/>
      <w:r>
        <w:lastRenderedPageBreak/>
        <w:t xml:space="preserve">IV. Cuantificación de las deudas prescritas entre 2008 y 2015 y </w:t>
      </w:r>
      <w:r w:rsidR="00B353CC">
        <w:t>O</w:t>
      </w:r>
      <w:r>
        <w:t xml:space="preserve">pinión de </w:t>
      </w:r>
      <w:r w:rsidR="00B353CC">
        <w:t xml:space="preserve">cumplimiento de </w:t>
      </w:r>
      <w:r>
        <w:t>legalidad</w:t>
      </w:r>
      <w:bookmarkEnd w:id="12"/>
    </w:p>
    <w:p w:rsidR="008A3F04" w:rsidRPr="001C7C66" w:rsidRDefault="001C7C66" w:rsidP="001C7C66">
      <w:pPr>
        <w:pStyle w:val="atitulo2"/>
      </w:pPr>
      <w:bookmarkStart w:id="13" w:name="_Toc465150103"/>
      <w:r w:rsidRPr="001C7C66">
        <w:t>IV.1.</w:t>
      </w:r>
      <w:r>
        <w:t xml:space="preserve"> </w:t>
      </w:r>
      <w:r w:rsidR="00B81A89" w:rsidRPr="001C7C66">
        <w:t xml:space="preserve">Deuda </w:t>
      </w:r>
      <w:r w:rsidR="00596AF4" w:rsidRPr="001C7C66">
        <w:t>prescrita en el periodo de 2008 a 2015</w:t>
      </w:r>
      <w:bookmarkEnd w:id="13"/>
    </w:p>
    <w:p w:rsidR="004E69E0" w:rsidRDefault="00CD6BAA" w:rsidP="00E52175">
      <w:pPr>
        <w:pStyle w:val="texto"/>
        <w:tabs>
          <w:tab w:val="clear" w:pos="2835"/>
          <w:tab w:val="clear" w:pos="3969"/>
          <w:tab w:val="clear" w:pos="5103"/>
          <w:tab w:val="clear" w:pos="6237"/>
          <w:tab w:val="clear" w:pos="7371"/>
        </w:tabs>
        <w:spacing w:after="240"/>
        <w:rPr>
          <w:spacing w:val="0"/>
          <w:szCs w:val="26"/>
        </w:rPr>
      </w:pPr>
      <w:r w:rsidRPr="00A63248">
        <w:rPr>
          <w:spacing w:val="0"/>
          <w:szCs w:val="26"/>
        </w:rPr>
        <w:t>De acuerdo con la información obtenida del CAT, en el periodo de 2008 a 2015, la HTN ha prescrito un total de 128,85 millones, de acuerdo con el siguiente detalle</w:t>
      </w:r>
      <w:r w:rsidR="00E52175" w:rsidRPr="00A63248">
        <w:rPr>
          <w:spacing w:val="0"/>
          <w:szCs w:val="26"/>
        </w:rPr>
        <w:t xml:space="preserve">, </w:t>
      </w:r>
      <w:r w:rsidR="00C9451A">
        <w:rPr>
          <w:spacing w:val="0"/>
          <w:szCs w:val="26"/>
        </w:rPr>
        <w:t xml:space="preserve">importes expresados </w:t>
      </w:r>
      <w:r w:rsidR="00E52175" w:rsidRPr="00A63248">
        <w:rPr>
          <w:spacing w:val="0"/>
          <w:szCs w:val="26"/>
        </w:rPr>
        <w:t>en euros.</w:t>
      </w:r>
    </w:p>
    <w:tbl>
      <w:tblPr>
        <w:tblW w:w="8849" w:type="dxa"/>
        <w:jc w:val="center"/>
        <w:tblCellMar>
          <w:left w:w="70" w:type="dxa"/>
          <w:right w:w="70" w:type="dxa"/>
        </w:tblCellMar>
        <w:tblLook w:val="04A0" w:firstRow="1" w:lastRow="0" w:firstColumn="1" w:lastColumn="0" w:noHBand="0" w:noVBand="1"/>
      </w:tblPr>
      <w:tblGrid>
        <w:gridCol w:w="4447"/>
        <w:gridCol w:w="1417"/>
        <w:gridCol w:w="1560"/>
        <w:gridCol w:w="1425"/>
      </w:tblGrid>
      <w:tr w:rsidR="004E69E0" w:rsidRPr="00DD5382" w:rsidTr="00E52175">
        <w:trPr>
          <w:trHeight w:val="284"/>
          <w:jc w:val="center"/>
        </w:trPr>
        <w:tc>
          <w:tcPr>
            <w:tcW w:w="4447" w:type="dxa"/>
            <w:tcBorders>
              <w:top w:val="single" w:sz="4" w:space="0" w:color="auto"/>
              <w:bottom w:val="single" w:sz="4" w:space="0" w:color="auto"/>
            </w:tcBorders>
            <w:shd w:val="clear" w:color="auto" w:fill="A8CBEE" w:themeFill="accent2" w:themeFillTint="66"/>
            <w:vAlign w:val="center"/>
            <w:hideMark/>
          </w:tcPr>
          <w:p w:rsidR="004E69E0" w:rsidRPr="00DD5382" w:rsidRDefault="004E69E0" w:rsidP="0080028B">
            <w:pPr>
              <w:pStyle w:val="cuadroCabe"/>
              <w:rPr>
                <w:lang w:val="es-ES" w:eastAsia="es-ES"/>
              </w:rPr>
            </w:pPr>
            <w:r>
              <w:rPr>
                <w:lang w:val="es-ES" w:eastAsia="es-ES"/>
              </w:rPr>
              <w:t>C</w:t>
            </w:r>
            <w:r w:rsidRPr="00495A33">
              <w:rPr>
                <w:lang w:val="es-ES" w:eastAsia="es-ES"/>
              </w:rPr>
              <w:t>uenta</w:t>
            </w:r>
          </w:p>
        </w:tc>
        <w:tc>
          <w:tcPr>
            <w:tcW w:w="1417" w:type="dxa"/>
            <w:tcBorders>
              <w:top w:val="single" w:sz="4" w:space="0" w:color="auto"/>
              <w:bottom w:val="single" w:sz="4" w:space="0" w:color="auto"/>
            </w:tcBorders>
            <w:shd w:val="clear" w:color="auto" w:fill="A8CBEE" w:themeFill="accent2" w:themeFillTint="66"/>
            <w:vAlign w:val="center"/>
            <w:hideMark/>
          </w:tcPr>
          <w:p w:rsidR="004E69E0" w:rsidRPr="00DD5382" w:rsidRDefault="004E69E0" w:rsidP="00E52175">
            <w:pPr>
              <w:pStyle w:val="cuadroCabe"/>
              <w:jc w:val="right"/>
              <w:rPr>
                <w:lang w:val="es-ES" w:eastAsia="es-ES"/>
              </w:rPr>
            </w:pPr>
            <w:r w:rsidRPr="00495A33">
              <w:rPr>
                <w:lang w:val="es-ES" w:eastAsia="es-ES"/>
              </w:rPr>
              <w:t>Quitas</w:t>
            </w:r>
          </w:p>
        </w:tc>
        <w:tc>
          <w:tcPr>
            <w:tcW w:w="1560" w:type="dxa"/>
            <w:tcBorders>
              <w:top w:val="single" w:sz="4" w:space="0" w:color="auto"/>
              <w:bottom w:val="single" w:sz="4" w:space="0" w:color="auto"/>
            </w:tcBorders>
            <w:shd w:val="clear" w:color="auto" w:fill="A8CBEE" w:themeFill="accent2" w:themeFillTint="66"/>
            <w:vAlign w:val="center"/>
            <w:hideMark/>
          </w:tcPr>
          <w:p w:rsidR="004E69E0" w:rsidRPr="00DD5382" w:rsidRDefault="004E69E0" w:rsidP="00E52175">
            <w:pPr>
              <w:pStyle w:val="cuadroCabe"/>
              <w:jc w:val="right"/>
              <w:rPr>
                <w:lang w:val="es-ES" w:eastAsia="es-ES"/>
              </w:rPr>
            </w:pPr>
            <w:r w:rsidRPr="00DD5382">
              <w:rPr>
                <w:lang w:val="es-ES" w:eastAsia="es-ES"/>
              </w:rPr>
              <w:t>Prescripci</w:t>
            </w:r>
            <w:r w:rsidRPr="00495A33">
              <w:rPr>
                <w:lang w:val="es-ES" w:eastAsia="es-ES"/>
              </w:rPr>
              <w:t>ón</w:t>
            </w:r>
          </w:p>
        </w:tc>
        <w:tc>
          <w:tcPr>
            <w:tcW w:w="1425" w:type="dxa"/>
            <w:tcBorders>
              <w:top w:val="single" w:sz="4" w:space="0" w:color="auto"/>
              <w:bottom w:val="single" w:sz="4" w:space="0" w:color="auto"/>
            </w:tcBorders>
            <w:shd w:val="clear" w:color="auto" w:fill="A8CBEE" w:themeFill="accent2" w:themeFillTint="66"/>
            <w:vAlign w:val="center"/>
            <w:hideMark/>
          </w:tcPr>
          <w:p w:rsidR="004E69E0" w:rsidRPr="00DD5382" w:rsidRDefault="004E69E0" w:rsidP="00E52175">
            <w:pPr>
              <w:pStyle w:val="cuadroCabe"/>
              <w:jc w:val="right"/>
              <w:rPr>
                <w:lang w:val="es-ES" w:eastAsia="es-ES"/>
              </w:rPr>
            </w:pPr>
            <w:r w:rsidRPr="00DD5382">
              <w:rPr>
                <w:lang w:val="es-ES" w:eastAsia="es-ES"/>
              </w:rPr>
              <w:t>Total</w:t>
            </w:r>
          </w:p>
        </w:tc>
      </w:tr>
      <w:tr w:rsidR="004E69E0" w:rsidRPr="00DD5382" w:rsidTr="00E52175">
        <w:trPr>
          <w:trHeight w:val="284"/>
          <w:jc w:val="center"/>
        </w:trPr>
        <w:tc>
          <w:tcPr>
            <w:tcW w:w="4447" w:type="dxa"/>
            <w:tcBorders>
              <w:top w:val="single" w:sz="4" w:space="0" w:color="auto"/>
              <w:bottom w:val="single" w:sz="2" w:space="0" w:color="auto"/>
            </w:tcBorders>
            <w:shd w:val="clear" w:color="auto" w:fill="auto"/>
            <w:noWrap/>
            <w:vAlign w:val="center"/>
            <w:hideMark/>
          </w:tcPr>
          <w:p w:rsidR="004E69E0" w:rsidRPr="004E2FAA" w:rsidRDefault="004E69E0" w:rsidP="0080028B">
            <w:pPr>
              <w:pStyle w:val="cuatexto"/>
            </w:pPr>
            <w:r w:rsidRPr="004E2FAA">
              <w:t>Periódicos</w:t>
            </w:r>
          </w:p>
        </w:tc>
        <w:tc>
          <w:tcPr>
            <w:tcW w:w="1417" w:type="dxa"/>
            <w:tcBorders>
              <w:top w:val="single" w:sz="4" w:space="0" w:color="auto"/>
              <w:bottom w:val="single" w:sz="2" w:space="0" w:color="auto"/>
            </w:tcBorders>
            <w:shd w:val="clear" w:color="auto" w:fill="auto"/>
            <w:noWrap/>
            <w:vAlign w:val="center"/>
            <w:hideMark/>
          </w:tcPr>
          <w:p w:rsidR="004E69E0" w:rsidRPr="004E2FAA" w:rsidRDefault="004E69E0" w:rsidP="0080028B">
            <w:pPr>
              <w:pStyle w:val="cuatexto"/>
              <w:jc w:val="right"/>
            </w:pPr>
            <w:r w:rsidRPr="004E2FAA">
              <w:t>452.637</w:t>
            </w:r>
          </w:p>
        </w:tc>
        <w:tc>
          <w:tcPr>
            <w:tcW w:w="1560" w:type="dxa"/>
            <w:tcBorders>
              <w:top w:val="single" w:sz="4" w:space="0" w:color="auto"/>
              <w:bottom w:val="single" w:sz="2" w:space="0" w:color="auto"/>
            </w:tcBorders>
            <w:shd w:val="clear" w:color="auto" w:fill="auto"/>
            <w:noWrap/>
            <w:vAlign w:val="center"/>
          </w:tcPr>
          <w:p w:rsidR="004E69E0" w:rsidRPr="004E69E0" w:rsidRDefault="004E69E0" w:rsidP="004E69E0">
            <w:pPr>
              <w:pStyle w:val="cuatexto"/>
              <w:jc w:val="right"/>
            </w:pPr>
            <w:r w:rsidRPr="004E69E0">
              <w:t>2.896.315</w:t>
            </w:r>
          </w:p>
        </w:tc>
        <w:tc>
          <w:tcPr>
            <w:tcW w:w="1425" w:type="dxa"/>
            <w:tcBorders>
              <w:top w:val="single" w:sz="4" w:space="0" w:color="auto"/>
              <w:bottom w:val="single" w:sz="2" w:space="0" w:color="auto"/>
            </w:tcBorders>
            <w:shd w:val="clear" w:color="auto" w:fill="auto"/>
            <w:noWrap/>
            <w:vAlign w:val="center"/>
            <w:hideMark/>
          </w:tcPr>
          <w:p w:rsidR="004E69E0" w:rsidRPr="004E2FAA" w:rsidRDefault="004E69E0" w:rsidP="0080028B">
            <w:pPr>
              <w:pStyle w:val="cuatexto"/>
              <w:jc w:val="right"/>
            </w:pPr>
            <w:r w:rsidRPr="004E2FAA">
              <w:t>3.348.953</w:t>
            </w:r>
          </w:p>
        </w:tc>
      </w:tr>
      <w:tr w:rsidR="004E69E0" w:rsidRPr="00DD5382" w:rsidTr="00E52175">
        <w:trPr>
          <w:trHeight w:val="284"/>
          <w:jc w:val="center"/>
        </w:trPr>
        <w:tc>
          <w:tcPr>
            <w:tcW w:w="4447" w:type="dxa"/>
            <w:tcBorders>
              <w:top w:val="single" w:sz="2" w:space="0" w:color="auto"/>
              <w:bottom w:val="single" w:sz="2" w:space="0" w:color="auto"/>
            </w:tcBorders>
            <w:shd w:val="clear" w:color="auto" w:fill="auto"/>
            <w:noWrap/>
            <w:vAlign w:val="center"/>
            <w:hideMark/>
          </w:tcPr>
          <w:p w:rsidR="004E69E0" w:rsidRPr="004E2FAA" w:rsidRDefault="004E69E0" w:rsidP="0080028B">
            <w:pPr>
              <w:pStyle w:val="cuatexto"/>
            </w:pPr>
            <w:r w:rsidRPr="004E2FAA">
              <w:t>No periódicos</w:t>
            </w:r>
          </w:p>
        </w:tc>
        <w:tc>
          <w:tcPr>
            <w:tcW w:w="1417" w:type="dxa"/>
            <w:tcBorders>
              <w:top w:val="single" w:sz="2" w:space="0" w:color="auto"/>
              <w:bottom w:val="single" w:sz="2" w:space="0" w:color="auto"/>
            </w:tcBorders>
            <w:shd w:val="clear" w:color="auto" w:fill="auto"/>
            <w:noWrap/>
            <w:vAlign w:val="center"/>
            <w:hideMark/>
          </w:tcPr>
          <w:p w:rsidR="004E69E0" w:rsidRPr="004E2FAA" w:rsidRDefault="004E69E0" w:rsidP="0080028B">
            <w:pPr>
              <w:pStyle w:val="cuatexto"/>
              <w:jc w:val="right"/>
            </w:pPr>
            <w:r w:rsidRPr="004E2FAA">
              <w:t>45.747</w:t>
            </w:r>
          </w:p>
        </w:tc>
        <w:tc>
          <w:tcPr>
            <w:tcW w:w="1560" w:type="dxa"/>
            <w:tcBorders>
              <w:top w:val="single" w:sz="2" w:space="0" w:color="auto"/>
              <w:bottom w:val="single" w:sz="2" w:space="0" w:color="auto"/>
            </w:tcBorders>
            <w:shd w:val="clear" w:color="auto" w:fill="auto"/>
            <w:noWrap/>
            <w:vAlign w:val="center"/>
          </w:tcPr>
          <w:p w:rsidR="004E69E0" w:rsidRPr="004E69E0" w:rsidRDefault="004E69E0" w:rsidP="004E69E0">
            <w:pPr>
              <w:pStyle w:val="cuatexto"/>
              <w:jc w:val="right"/>
            </w:pPr>
            <w:r w:rsidRPr="004E69E0">
              <w:t>182.444</w:t>
            </w:r>
          </w:p>
        </w:tc>
        <w:tc>
          <w:tcPr>
            <w:tcW w:w="1425" w:type="dxa"/>
            <w:tcBorders>
              <w:top w:val="single" w:sz="2" w:space="0" w:color="auto"/>
              <w:bottom w:val="single" w:sz="2" w:space="0" w:color="auto"/>
            </w:tcBorders>
            <w:shd w:val="clear" w:color="auto" w:fill="auto"/>
            <w:noWrap/>
            <w:vAlign w:val="center"/>
            <w:hideMark/>
          </w:tcPr>
          <w:p w:rsidR="004E69E0" w:rsidRPr="004E2FAA" w:rsidRDefault="004E69E0" w:rsidP="0080028B">
            <w:pPr>
              <w:pStyle w:val="cuatexto"/>
              <w:jc w:val="right"/>
            </w:pPr>
            <w:r w:rsidRPr="004E2FAA">
              <w:t>228.191</w:t>
            </w:r>
          </w:p>
        </w:tc>
      </w:tr>
      <w:tr w:rsidR="004E69E0" w:rsidRPr="00DD5382" w:rsidTr="00E52175">
        <w:trPr>
          <w:trHeight w:val="284"/>
          <w:jc w:val="center"/>
        </w:trPr>
        <w:tc>
          <w:tcPr>
            <w:tcW w:w="4447" w:type="dxa"/>
            <w:tcBorders>
              <w:top w:val="single" w:sz="2" w:space="0" w:color="auto"/>
              <w:bottom w:val="single" w:sz="2" w:space="0" w:color="auto"/>
            </w:tcBorders>
            <w:shd w:val="clear" w:color="auto" w:fill="auto"/>
            <w:noWrap/>
            <w:vAlign w:val="center"/>
            <w:hideMark/>
          </w:tcPr>
          <w:p w:rsidR="004E69E0" w:rsidRPr="004E2FAA" w:rsidRDefault="004E69E0" w:rsidP="0080028B">
            <w:pPr>
              <w:pStyle w:val="cuatexto"/>
            </w:pPr>
            <w:r w:rsidRPr="004E2FAA">
              <w:t>No fiscales</w:t>
            </w:r>
          </w:p>
        </w:tc>
        <w:tc>
          <w:tcPr>
            <w:tcW w:w="1417" w:type="dxa"/>
            <w:tcBorders>
              <w:top w:val="single" w:sz="2" w:space="0" w:color="auto"/>
              <w:bottom w:val="single" w:sz="2" w:space="0" w:color="auto"/>
            </w:tcBorders>
            <w:shd w:val="clear" w:color="auto" w:fill="auto"/>
            <w:noWrap/>
            <w:vAlign w:val="center"/>
            <w:hideMark/>
          </w:tcPr>
          <w:p w:rsidR="004E69E0" w:rsidRPr="004E2FAA" w:rsidRDefault="004E69E0" w:rsidP="0080028B">
            <w:pPr>
              <w:pStyle w:val="cuatexto"/>
              <w:jc w:val="right"/>
            </w:pPr>
            <w:r w:rsidRPr="004E2FAA">
              <w:t>-55.997</w:t>
            </w:r>
          </w:p>
        </w:tc>
        <w:tc>
          <w:tcPr>
            <w:tcW w:w="1560" w:type="dxa"/>
            <w:tcBorders>
              <w:top w:val="single" w:sz="2" w:space="0" w:color="auto"/>
              <w:bottom w:val="single" w:sz="2" w:space="0" w:color="auto"/>
            </w:tcBorders>
            <w:shd w:val="clear" w:color="auto" w:fill="auto"/>
            <w:noWrap/>
            <w:vAlign w:val="center"/>
          </w:tcPr>
          <w:p w:rsidR="004E69E0" w:rsidRPr="004E69E0" w:rsidRDefault="004E69E0" w:rsidP="004E69E0">
            <w:pPr>
              <w:pStyle w:val="cuatexto"/>
              <w:jc w:val="right"/>
            </w:pPr>
            <w:r w:rsidRPr="004E69E0">
              <w:t>1.166.794</w:t>
            </w:r>
          </w:p>
        </w:tc>
        <w:tc>
          <w:tcPr>
            <w:tcW w:w="1425" w:type="dxa"/>
            <w:tcBorders>
              <w:top w:val="single" w:sz="2" w:space="0" w:color="auto"/>
              <w:bottom w:val="single" w:sz="2" w:space="0" w:color="auto"/>
            </w:tcBorders>
            <w:shd w:val="clear" w:color="auto" w:fill="auto"/>
            <w:noWrap/>
            <w:vAlign w:val="center"/>
            <w:hideMark/>
          </w:tcPr>
          <w:p w:rsidR="004E69E0" w:rsidRPr="004E2FAA" w:rsidRDefault="004E69E0" w:rsidP="0080028B">
            <w:pPr>
              <w:pStyle w:val="cuatexto"/>
              <w:jc w:val="right"/>
            </w:pPr>
            <w:r w:rsidRPr="004E2FAA">
              <w:t>1.110.797</w:t>
            </w:r>
          </w:p>
        </w:tc>
      </w:tr>
      <w:tr w:rsidR="006436BC" w:rsidRPr="00DD5382" w:rsidTr="00E52175">
        <w:trPr>
          <w:trHeight w:val="284"/>
          <w:jc w:val="center"/>
        </w:trPr>
        <w:tc>
          <w:tcPr>
            <w:tcW w:w="4447" w:type="dxa"/>
            <w:tcBorders>
              <w:top w:val="single" w:sz="2" w:space="0" w:color="auto"/>
              <w:bottom w:val="single" w:sz="2" w:space="0" w:color="auto"/>
            </w:tcBorders>
            <w:shd w:val="clear" w:color="auto" w:fill="auto"/>
            <w:noWrap/>
            <w:vAlign w:val="center"/>
            <w:hideMark/>
          </w:tcPr>
          <w:p w:rsidR="006436BC" w:rsidRPr="004E2FAA" w:rsidRDefault="006436BC" w:rsidP="0080028B">
            <w:pPr>
              <w:pStyle w:val="cuatexto"/>
            </w:pPr>
            <w:r w:rsidRPr="004E2FAA">
              <w:t>Aplazamientos</w:t>
            </w:r>
          </w:p>
        </w:tc>
        <w:tc>
          <w:tcPr>
            <w:tcW w:w="1417" w:type="dxa"/>
            <w:tcBorders>
              <w:top w:val="single" w:sz="2" w:space="0" w:color="auto"/>
              <w:bottom w:val="single" w:sz="2" w:space="0" w:color="auto"/>
            </w:tcBorders>
            <w:shd w:val="clear" w:color="auto" w:fill="auto"/>
            <w:noWrap/>
            <w:vAlign w:val="center"/>
          </w:tcPr>
          <w:p w:rsidR="006436BC" w:rsidRPr="006436BC" w:rsidRDefault="006436BC" w:rsidP="006436BC">
            <w:pPr>
              <w:pStyle w:val="cuatexto"/>
              <w:jc w:val="right"/>
            </w:pPr>
            <w:r w:rsidRPr="006436BC">
              <w:t>1</w:t>
            </w:r>
            <w:r>
              <w:t>.</w:t>
            </w:r>
            <w:r w:rsidRPr="006436BC">
              <w:t>338</w:t>
            </w:r>
            <w:r>
              <w:t>.</w:t>
            </w:r>
            <w:r w:rsidRPr="006436BC">
              <w:t>846</w:t>
            </w:r>
          </w:p>
        </w:tc>
        <w:tc>
          <w:tcPr>
            <w:tcW w:w="1560" w:type="dxa"/>
            <w:tcBorders>
              <w:top w:val="single" w:sz="2" w:space="0" w:color="auto"/>
              <w:bottom w:val="single" w:sz="2" w:space="0" w:color="auto"/>
            </w:tcBorders>
            <w:shd w:val="clear" w:color="auto" w:fill="auto"/>
            <w:noWrap/>
            <w:vAlign w:val="center"/>
          </w:tcPr>
          <w:p w:rsidR="006436BC" w:rsidRPr="006436BC" w:rsidRDefault="006436BC" w:rsidP="006436BC">
            <w:pPr>
              <w:pStyle w:val="cuatexto"/>
              <w:jc w:val="right"/>
            </w:pPr>
            <w:r w:rsidRPr="006436BC">
              <w:t>216</w:t>
            </w:r>
            <w:r>
              <w:t>.</w:t>
            </w:r>
            <w:r w:rsidRPr="006436BC">
              <w:t>746</w:t>
            </w:r>
          </w:p>
        </w:tc>
        <w:tc>
          <w:tcPr>
            <w:tcW w:w="1425" w:type="dxa"/>
            <w:tcBorders>
              <w:top w:val="single" w:sz="2" w:space="0" w:color="auto"/>
              <w:bottom w:val="single" w:sz="2" w:space="0" w:color="auto"/>
            </w:tcBorders>
            <w:shd w:val="clear" w:color="auto" w:fill="auto"/>
            <w:noWrap/>
            <w:vAlign w:val="center"/>
          </w:tcPr>
          <w:p w:rsidR="006436BC" w:rsidRPr="006436BC" w:rsidRDefault="006436BC" w:rsidP="006436BC">
            <w:pPr>
              <w:pStyle w:val="cuatexto"/>
              <w:jc w:val="right"/>
            </w:pPr>
            <w:r w:rsidRPr="006436BC">
              <w:t>1</w:t>
            </w:r>
            <w:r>
              <w:t>.</w:t>
            </w:r>
            <w:r w:rsidRPr="006436BC">
              <w:t>595</w:t>
            </w:r>
            <w:r>
              <w:t>.</w:t>
            </w:r>
            <w:r w:rsidRPr="006436BC">
              <w:t>592</w:t>
            </w:r>
          </w:p>
        </w:tc>
      </w:tr>
      <w:tr w:rsidR="006436BC" w:rsidRPr="00DD5382" w:rsidTr="00E52175">
        <w:trPr>
          <w:trHeight w:val="284"/>
          <w:jc w:val="center"/>
        </w:trPr>
        <w:tc>
          <w:tcPr>
            <w:tcW w:w="4447" w:type="dxa"/>
            <w:tcBorders>
              <w:top w:val="single" w:sz="2" w:space="0" w:color="auto"/>
              <w:bottom w:val="single" w:sz="2" w:space="0" w:color="auto"/>
            </w:tcBorders>
            <w:shd w:val="clear" w:color="auto" w:fill="auto"/>
            <w:noWrap/>
            <w:vAlign w:val="center"/>
            <w:hideMark/>
          </w:tcPr>
          <w:p w:rsidR="006436BC" w:rsidRPr="004E2FAA" w:rsidRDefault="006436BC" w:rsidP="0080028B">
            <w:pPr>
              <w:pStyle w:val="cuatexto"/>
            </w:pPr>
            <w:r w:rsidRPr="004E2FAA">
              <w:t>Agencia Ejecutiva</w:t>
            </w:r>
          </w:p>
        </w:tc>
        <w:tc>
          <w:tcPr>
            <w:tcW w:w="1417" w:type="dxa"/>
            <w:tcBorders>
              <w:top w:val="single" w:sz="2" w:space="0" w:color="auto"/>
              <w:bottom w:val="single" w:sz="2" w:space="0" w:color="auto"/>
            </w:tcBorders>
            <w:shd w:val="clear" w:color="auto" w:fill="auto"/>
            <w:noWrap/>
            <w:vAlign w:val="center"/>
            <w:hideMark/>
          </w:tcPr>
          <w:p w:rsidR="006436BC" w:rsidRPr="004E2FAA" w:rsidRDefault="006436BC" w:rsidP="0080028B">
            <w:pPr>
              <w:pStyle w:val="cuatexto"/>
              <w:jc w:val="right"/>
            </w:pPr>
            <w:r w:rsidRPr="004E2FAA">
              <w:t>26.016</w:t>
            </w:r>
          </w:p>
        </w:tc>
        <w:tc>
          <w:tcPr>
            <w:tcW w:w="1560" w:type="dxa"/>
            <w:tcBorders>
              <w:top w:val="single" w:sz="2" w:space="0" w:color="auto"/>
              <w:bottom w:val="single" w:sz="2" w:space="0" w:color="auto"/>
            </w:tcBorders>
            <w:shd w:val="clear" w:color="auto" w:fill="auto"/>
            <w:noWrap/>
            <w:vAlign w:val="center"/>
          </w:tcPr>
          <w:p w:rsidR="006436BC" w:rsidRPr="004E69E0" w:rsidRDefault="006436BC" w:rsidP="004E69E0">
            <w:pPr>
              <w:pStyle w:val="cuatexto"/>
              <w:jc w:val="right"/>
            </w:pPr>
            <w:r w:rsidRPr="004E69E0">
              <w:t>119.442.876</w:t>
            </w:r>
          </w:p>
        </w:tc>
        <w:tc>
          <w:tcPr>
            <w:tcW w:w="1425" w:type="dxa"/>
            <w:tcBorders>
              <w:top w:val="single" w:sz="2" w:space="0" w:color="auto"/>
              <w:bottom w:val="single" w:sz="2" w:space="0" w:color="auto"/>
            </w:tcBorders>
            <w:shd w:val="clear" w:color="auto" w:fill="auto"/>
            <w:noWrap/>
            <w:vAlign w:val="center"/>
            <w:hideMark/>
          </w:tcPr>
          <w:p w:rsidR="006436BC" w:rsidRPr="004E2FAA" w:rsidRDefault="006436BC" w:rsidP="0080028B">
            <w:pPr>
              <w:pStyle w:val="cuatexto"/>
              <w:jc w:val="right"/>
            </w:pPr>
            <w:r w:rsidRPr="004E2FAA">
              <w:t>119.968.891</w:t>
            </w:r>
          </w:p>
        </w:tc>
      </w:tr>
      <w:tr w:rsidR="006436BC" w:rsidRPr="00DD5382" w:rsidTr="00E52175">
        <w:trPr>
          <w:trHeight w:val="284"/>
          <w:jc w:val="center"/>
        </w:trPr>
        <w:tc>
          <w:tcPr>
            <w:tcW w:w="4447" w:type="dxa"/>
            <w:tcBorders>
              <w:top w:val="single" w:sz="2" w:space="0" w:color="auto"/>
              <w:bottom w:val="single" w:sz="4" w:space="0" w:color="auto"/>
            </w:tcBorders>
            <w:shd w:val="clear" w:color="auto" w:fill="auto"/>
            <w:noWrap/>
            <w:vAlign w:val="center"/>
            <w:hideMark/>
          </w:tcPr>
          <w:p w:rsidR="006436BC" w:rsidRPr="004E2FAA" w:rsidRDefault="006436BC" w:rsidP="0080028B">
            <w:pPr>
              <w:pStyle w:val="cuatexto"/>
            </w:pPr>
            <w:r w:rsidRPr="004E2FAA">
              <w:t>Fraccionamiento Agencia Ejecutiva</w:t>
            </w:r>
          </w:p>
        </w:tc>
        <w:tc>
          <w:tcPr>
            <w:tcW w:w="1417" w:type="dxa"/>
            <w:tcBorders>
              <w:top w:val="single" w:sz="2" w:space="0" w:color="auto"/>
              <w:bottom w:val="single" w:sz="4" w:space="0" w:color="auto"/>
            </w:tcBorders>
            <w:shd w:val="clear" w:color="auto" w:fill="auto"/>
            <w:noWrap/>
            <w:vAlign w:val="center"/>
            <w:hideMark/>
          </w:tcPr>
          <w:p w:rsidR="006436BC" w:rsidRPr="004E2FAA" w:rsidRDefault="006436BC" w:rsidP="0080028B">
            <w:pPr>
              <w:pStyle w:val="cuatexto"/>
              <w:jc w:val="right"/>
            </w:pPr>
            <w:r w:rsidRPr="004E2FAA">
              <w:t>9.010</w:t>
            </w:r>
          </w:p>
        </w:tc>
        <w:tc>
          <w:tcPr>
            <w:tcW w:w="1560" w:type="dxa"/>
            <w:tcBorders>
              <w:top w:val="single" w:sz="2" w:space="0" w:color="auto"/>
              <w:bottom w:val="single" w:sz="4" w:space="0" w:color="auto"/>
            </w:tcBorders>
            <w:shd w:val="clear" w:color="auto" w:fill="auto"/>
            <w:noWrap/>
            <w:vAlign w:val="center"/>
          </w:tcPr>
          <w:p w:rsidR="006436BC" w:rsidRPr="004E69E0" w:rsidRDefault="006436BC" w:rsidP="004E69E0">
            <w:pPr>
              <w:pStyle w:val="cuatexto"/>
              <w:jc w:val="right"/>
            </w:pPr>
            <w:r w:rsidRPr="004E69E0">
              <w:t>2.523.937</w:t>
            </w:r>
          </w:p>
        </w:tc>
        <w:tc>
          <w:tcPr>
            <w:tcW w:w="1425" w:type="dxa"/>
            <w:tcBorders>
              <w:top w:val="single" w:sz="2" w:space="0" w:color="auto"/>
              <w:bottom w:val="single" w:sz="4" w:space="0" w:color="auto"/>
            </w:tcBorders>
            <w:shd w:val="clear" w:color="auto" w:fill="auto"/>
            <w:noWrap/>
            <w:vAlign w:val="center"/>
            <w:hideMark/>
          </w:tcPr>
          <w:p w:rsidR="006436BC" w:rsidRPr="004E2FAA" w:rsidRDefault="006436BC" w:rsidP="0080028B">
            <w:pPr>
              <w:pStyle w:val="cuatexto"/>
              <w:jc w:val="right"/>
            </w:pPr>
            <w:r w:rsidRPr="004E2FAA">
              <w:t>2.602.947</w:t>
            </w:r>
          </w:p>
        </w:tc>
      </w:tr>
      <w:tr w:rsidR="006436BC" w:rsidRPr="00DD5382" w:rsidTr="00E52175">
        <w:trPr>
          <w:trHeight w:val="284"/>
          <w:jc w:val="center"/>
        </w:trPr>
        <w:tc>
          <w:tcPr>
            <w:tcW w:w="4447" w:type="dxa"/>
            <w:tcBorders>
              <w:top w:val="single" w:sz="4" w:space="0" w:color="auto"/>
              <w:bottom w:val="single" w:sz="4" w:space="0" w:color="auto"/>
            </w:tcBorders>
            <w:shd w:val="clear" w:color="auto" w:fill="A8CBEE" w:themeFill="accent2" w:themeFillTint="66"/>
            <w:noWrap/>
            <w:vAlign w:val="center"/>
            <w:hideMark/>
          </w:tcPr>
          <w:p w:rsidR="006436BC" w:rsidRPr="00DD5382" w:rsidRDefault="006436BC" w:rsidP="0080028B">
            <w:pPr>
              <w:pStyle w:val="cuadroCabe"/>
              <w:rPr>
                <w:rFonts w:ascii="Calibri" w:hAnsi="Calibri"/>
                <w:b/>
                <w:bCs/>
                <w:color w:val="000000"/>
                <w:sz w:val="22"/>
                <w:szCs w:val="22"/>
                <w:lang w:val="es-ES" w:eastAsia="es-ES"/>
              </w:rPr>
            </w:pPr>
            <w:r w:rsidRPr="00DD5382">
              <w:rPr>
                <w:lang w:val="es-ES" w:eastAsia="es-ES"/>
              </w:rPr>
              <w:t>Total</w:t>
            </w:r>
          </w:p>
        </w:tc>
        <w:tc>
          <w:tcPr>
            <w:tcW w:w="1417" w:type="dxa"/>
            <w:tcBorders>
              <w:top w:val="single" w:sz="4" w:space="0" w:color="auto"/>
              <w:bottom w:val="single" w:sz="4" w:space="0" w:color="auto"/>
            </w:tcBorders>
            <w:shd w:val="clear" w:color="auto" w:fill="A8CBEE" w:themeFill="accent2" w:themeFillTint="66"/>
            <w:noWrap/>
            <w:vAlign w:val="center"/>
            <w:hideMark/>
          </w:tcPr>
          <w:p w:rsidR="006436BC" w:rsidRPr="00DD5382" w:rsidRDefault="006436BC" w:rsidP="0080028B">
            <w:pPr>
              <w:pStyle w:val="cuadroCabe"/>
              <w:jc w:val="right"/>
              <w:rPr>
                <w:lang w:val="es-ES" w:eastAsia="es-ES"/>
              </w:rPr>
            </w:pPr>
            <w:r w:rsidRPr="00DD5382">
              <w:rPr>
                <w:lang w:val="es-ES" w:eastAsia="es-ES"/>
              </w:rPr>
              <w:t>2.426.260</w:t>
            </w:r>
          </w:p>
        </w:tc>
        <w:tc>
          <w:tcPr>
            <w:tcW w:w="1560" w:type="dxa"/>
            <w:tcBorders>
              <w:top w:val="single" w:sz="4" w:space="0" w:color="auto"/>
              <w:bottom w:val="single" w:sz="4" w:space="0" w:color="auto"/>
            </w:tcBorders>
            <w:shd w:val="clear" w:color="auto" w:fill="A8CBEE" w:themeFill="accent2" w:themeFillTint="66"/>
            <w:noWrap/>
            <w:vAlign w:val="center"/>
          </w:tcPr>
          <w:p w:rsidR="006436BC" w:rsidRPr="004E69E0" w:rsidRDefault="006436BC" w:rsidP="0080028B">
            <w:pPr>
              <w:spacing w:after="0"/>
              <w:ind w:firstLine="0"/>
              <w:jc w:val="right"/>
              <w:rPr>
                <w:rFonts w:ascii="Arial" w:hAnsi="Arial" w:cs="Arial"/>
                <w:color w:val="000000"/>
                <w:sz w:val="18"/>
                <w:szCs w:val="18"/>
                <w:lang w:val="es-ES" w:eastAsia="es-ES"/>
              </w:rPr>
            </w:pPr>
            <w:r w:rsidRPr="004E69E0">
              <w:rPr>
                <w:rFonts w:ascii="Arial" w:hAnsi="Arial" w:cs="Arial"/>
                <w:color w:val="000000"/>
                <w:sz w:val="18"/>
                <w:szCs w:val="18"/>
                <w:lang w:val="es-ES" w:eastAsia="es-ES"/>
              </w:rPr>
              <w:t>126.429.112</w:t>
            </w:r>
          </w:p>
        </w:tc>
        <w:tc>
          <w:tcPr>
            <w:tcW w:w="1425" w:type="dxa"/>
            <w:tcBorders>
              <w:top w:val="single" w:sz="4" w:space="0" w:color="auto"/>
              <w:bottom w:val="single" w:sz="4" w:space="0" w:color="auto"/>
            </w:tcBorders>
            <w:shd w:val="clear" w:color="auto" w:fill="A8CBEE" w:themeFill="accent2" w:themeFillTint="66"/>
            <w:noWrap/>
            <w:vAlign w:val="center"/>
            <w:hideMark/>
          </w:tcPr>
          <w:p w:rsidR="006436BC" w:rsidRPr="00DD5382" w:rsidRDefault="006436BC" w:rsidP="0080028B">
            <w:pPr>
              <w:pStyle w:val="cuadroCabe"/>
              <w:jc w:val="right"/>
              <w:rPr>
                <w:lang w:val="es-ES" w:eastAsia="es-ES"/>
              </w:rPr>
            </w:pPr>
            <w:r w:rsidRPr="00DD5382">
              <w:rPr>
                <w:lang w:val="es-ES" w:eastAsia="es-ES"/>
              </w:rPr>
              <w:t>128.855.372</w:t>
            </w:r>
          </w:p>
        </w:tc>
      </w:tr>
    </w:tbl>
    <w:p w:rsidR="006A2986" w:rsidRPr="00A63248" w:rsidRDefault="00FC7938" w:rsidP="00E52175">
      <w:pPr>
        <w:pStyle w:val="texto"/>
        <w:tabs>
          <w:tab w:val="clear" w:pos="2835"/>
          <w:tab w:val="clear" w:pos="3969"/>
          <w:tab w:val="clear" w:pos="5103"/>
          <w:tab w:val="clear" w:pos="6237"/>
          <w:tab w:val="clear" w:pos="7371"/>
        </w:tabs>
        <w:spacing w:before="240" w:after="240"/>
        <w:rPr>
          <w:szCs w:val="26"/>
        </w:rPr>
      </w:pPr>
      <w:r w:rsidRPr="00A63248">
        <w:rPr>
          <w:szCs w:val="26"/>
        </w:rPr>
        <w:t>Por ejercicio</w:t>
      </w:r>
      <w:r w:rsidR="00151194">
        <w:rPr>
          <w:szCs w:val="26"/>
        </w:rPr>
        <w:t xml:space="preserve"> en que se aprueba la prescripción</w:t>
      </w:r>
      <w:r w:rsidRPr="00A63248">
        <w:rPr>
          <w:szCs w:val="26"/>
        </w:rPr>
        <w:t>, se distribuye de acuerdo con el siguiente cuadro</w:t>
      </w:r>
      <w:r w:rsidR="001A4A78">
        <w:rPr>
          <w:szCs w:val="26"/>
        </w:rPr>
        <w:t xml:space="preserve">, expresada </w:t>
      </w:r>
      <w:r w:rsidR="00E7262D" w:rsidRPr="00A63248">
        <w:rPr>
          <w:szCs w:val="26"/>
        </w:rPr>
        <w:t>en euros</w:t>
      </w:r>
      <w:r w:rsidR="001A4A78">
        <w:rPr>
          <w:szCs w:val="26"/>
        </w:rPr>
        <w:t>.</w:t>
      </w:r>
    </w:p>
    <w:tbl>
      <w:tblPr>
        <w:tblW w:w="8853" w:type="dxa"/>
        <w:jc w:val="center"/>
        <w:tblCellMar>
          <w:left w:w="70" w:type="dxa"/>
          <w:right w:w="70" w:type="dxa"/>
        </w:tblCellMar>
        <w:tblLook w:val="04A0" w:firstRow="1" w:lastRow="0" w:firstColumn="1" w:lastColumn="0" w:noHBand="0" w:noVBand="1"/>
      </w:tblPr>
      <w:tblGrid>
        <w:gridCol w:w="6793"/>
        <w:gridCol w:w="2060"/>
      </w:tblGrid>
      <w:tr w:rsidR="00495A33" w:rsidRPr="00495A33" w:rsidTr="007647C1">
        <w:trPr>
          <w:trHeight w:val="284"/>
          <w:jc w:val="center"/>
        </w:trPr>
        <w:tc>
          <w:tcPr>
            <w:tcW w:w="6793" w:type="dxa"/>
            <w:tcBorders>
              <w:top w:val="single" w:sz="4" w:space="0" w:color="auto"/>
              <w:bottom w:val="single" w:sz="4" w:space="0" w:color="auto"/>
            </w:tcBorders>
            <w:shd w:val="clear" w:color="auto" w:fill="A8CBEE" w:themeFill="accent2" w:themeFillTint="66"/>
            <w:noWrap/>
            <w:vAlign w:val="center"/>
            <w:hideMark/>
          </w:tcPr>
          <w:p w:rsidR="00495A33" w:rsidRPr="00495A33" w:rsidRDefault="00495A33" w:rsidP="00495A33">
            <w:pPr>
              <w:pStyle w:val="cuadroCabe"/>
              <w:rPr>
                <w:lang w:val="es-ES" w:eastAsia="es-ES"/>
              </w:rPr>
            </w:pPr>
            <w:r>
              <w:rPr>
                <w:lang w:val="es-ES" w:eastAsia="es-ES"/>
              </w:rPr>
              <w:t>Ejercicio</w:t>
            </w:r>
          </w:p>
        </w:tc>
        <w:tc>
          <w:tcPr>
            <w:tcW w:w="2060" w:type="dxa"/>
            <w:tcBorders>
              <w:top w:val="single" w:sz="4" w:space="0" w:color="auto"/>
              <w:bottom w:val="single" w:sz="4" w:space="0" w:color="auto"/>
            </w:tcBorders>
            <w:shd w:val="clear" w:color="auto" w:fill="A8CBEE" w:themeFill="accent2" w:themeFillTint="66"/>
            <w:noWrap/>
            <w:vAlign w:val="center"/>
            <w:hideMark/>
          </w:tcPr>
          <w:p w:rsidR="00495A33" w:rsidRPr="00495A33" w:rsidRDefault="00495A33" w:rsidP="007647C1">
            <w:pPr>
              <w:pStyle w:val="cuadroCabe"/>
              <w:jc w:val="right"/>
              <w:rPr>
                <w:lang w:val="es-ES" w:eastAsia="es-ES"/>
              </w:rPr>
            </w:pPr>
            <w:r>
              <w:rPr>
                <w:lang w:val="es-ES" w:eastAsia="es-ES"/>
              </w:rPr>
              <w:t>I</w:t>
            </w:r>
            <w:r w:rsidRPr="00495A33">
              <w:rPr>
                <w:lang w:val="es-ES" w:eastAsia="es-ES"/>
              </w:rPr>
              <w:t>mporte</w:t>
            </w:r>
          </w:p>
        </w:tc>
      </w:tr>
      <w:tr w:rsidR="00495A33" w:rsidRPr="00495A33" w:rsidTr="007647C1">
        <w:trPr>
          <w:trHeight w:val="284"/>
          <w:jc w:val="center"/>
        </w:trPr>
        <w:tc>
          <w:tcPr>
            <w:tcW w:w="6793" w:type="dxa"/>
            <w:tcBorders>
              <w:top w:val="single" w:sz="4" w:space="0" w:color="auto"/>
              <w:bottom w:val="single" w:sz="2" w:space="0" w:color="auto"/>
            </w:tcBorders>
            <w:shd w:val="clear" w:color="auto" w:fill="auto"/>
            <w:noWrap/>
            <w:vAlign w:val="center"/>
            <w:hideMark/>
          </w:tcPr>
          <w:p w:rsidR="00495A33" w:rsidRPr="004E2FAA" w:rsidRDefault="00495A33" w:rsidP="004E2FAA">
            <w:pPr>
              <w:pStyle w:val="cuatexto"/>
            </w:pPr>
            <w:r w:rsidRPr="004E2FAA">
              <w:t>2008</w:t>
            </w:r>
          </w:p>
        </w:tc>
        <w:tc>
          <w:tcPr>
            <w:tcW w:w="2060" w:type="dxa"/>
            <w:tcBorders>
              <w:top w:val="single" w:sz="4" w:space="0" w:color="auto"/>
              <w:bottom w:val="single" w:sz="2" w:space="0" w:color="auto"/>
            </w:tcBorders>
            <w:shd w:val="clear" w:color="auto" w:fill="auto"/>
            <w:noWrap/>
            <w:vAlign w:val="center"/>
            <w:hideMark/>
          </w:tcPr>
          <w:p w:rsidR="00495A33" w:rsidRPr="004E2FAA" w:rsidRDefault="00C313E0" w:rsidP="00DC6189">
            <w:pPr>
              <w:pStyle w:val="cuatexto"/>
              <w:jc w:val="right"/>
            </w:pPr>
            <w:r w:rsidRPr="004E2FAA">
              <w:t>7.</w:t>
            </w:r>
            <w:r w:rsidR="00DC6189">
              <w:t>966.780</w:t>
            </w:r>
          </w:p>
        </w:tc>
      </w:tr>
      <w:tr w:rsidR="00495A33" w:rsidRPr="00495A33" w:rsidTr="007647C1">
        <w:trPr>
          <w:trHeight w:val="284"/>
          <w:jc w:val="center"/>
        </w:trPr>
        <w:tc>
          <w:tcPr>
            <w:tcW w:w="6793"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pPr>
            <w:r w:rsidRPr="004E2FAA">
              <w:t>2009</w:t>
            </w:r>
          </w:p>
        </w:tc>
        <w:tc>
          <w:tcPr>
            <w:tcW w:w="2060"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jc w:val="right"/>
            </w:pPr>
            <w:r w:rsidRPr="004E2FAA">
              <w:t>9.804.152</w:t>
            </w:r>
          </w:p>
        </w:tc>
      </w:tr>
      <w:tr w:rsidR="00495A33" w:rsidRPr="00495A33" w:rsidTr="007647C1">
        <w:trPr>
          <w:trHeight w:val="284"/>
          <w:jc w:val="center"/>
        </w:trPr>
        <w:tc>
          <w:tcPr>
            <w:tcW w:w="6793"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pPr>
            <w:r w:rsidRPr="004E2FAA">
              <w:t>2010</w:t>
            </w:r>
          </w:p>
        </w:tc>
        <w:tc>
          <w:tcPr>
            <w:tcW w:w="2060"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jc w:val="right"/>
            </w:pPr>
            <w:r w:rsidRPr="004E2FAA">
              <w:t>8.664.677</w:t>
            </w:r>
          </w:p>
        </w:tc>
      </w:tr>
      <w:tr w:rsidR="00495A33" w:rsidRPr="00495A33" w:rsidTr="007647C1">
        <w:trPr>
          <w:trHeight w:val="284"/>
          <w:jc w:val="center"/>
        </w:trPr>
        <w:tc>
          <w:tcPr>
            <w:tcW w:w="6793"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pPr>
            <w:r w:rsidRPr="004E2FAA">
              <w:t>2011</w:t>
            </w:r>
          </w:p>
        </w:tc>
        <w:tc>
          <w:tcPr>
            <w:tcW w:w="2060"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jc w:val="right"/>
            </w:pPr>
            <w:r w:rsidRPr="004E2FAA">
              <w:t>7.974.002</w:t>
            </w:r>
          </w:p>
        </w:tc>
      </w:tr>
      <w:tr w:rsidR="00495A33" w:rsidRPr="00495A33" w:rsidTr="007647C1">
        <w:trPr>
          <w:trHeight w:val="284"/>
          <w:jc w:val="center"/>
        </w:trPr>
        <w:tc>
          <w:tcPr>
            <w:tcW w:w="6793"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pPr>
            <w:r w:rsidRPr="004E2FAA">
              <w:t>2012</w:t>
            </w:r>
          </w:p>
        </w:tc>
        <w:tc>
          <w:tcPr>
            <w:tcW w:w="2060"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jc w:val="right"/>
            </w:pPr>
            <w:r w:rsidRPr="004E2FAA">
              <w:t>11.038.312</w:t>
            </w:r>
          </w:p>
        </w:tc>
      </w:tr>
      <w:tr w:rsidR="00495A33" w:rsidRPr="00495A33" w:rsidTr="007647C1">
        <w:trPr>
          <w:trHeight w:val="284"/>
          <w:jc w:val="center"/>
        </w:trPr>
        <w:tc>
          <w:tcPr>
            <w:tcW w:w="6793"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pPr>
            <w:r w:rsidRPr="004E2FAA">
              <w:t>2013</w:t>
            </w:r>
          </w:p>
        </w:tc>
        <w:tc>
          <w:tcPr>
            <w:tcW w:w="2060"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jc w:val="right"/>
            </w:pPr>
            <w:r w:rsidRPr="004E2FAA">
              <w:t>11.169.265</w:t>
            </w:r>
          </w:p>
        </w:tc>
      </w:tr>
      <w:tr w:rsidR="00495A33" w:rsidRPr="00495A33" w:rsidTr="007647C1">
        <w:trPr>
          <w:trHeight w:val="284"/>
          <w:jc w:val="center"/>
        </w:trPr>
        <w:tc>
          <w:tcPr>
            <w:tcW w:w="6793" w:type="dxa"/>
            <w:tcBorders>
              <w:top w:val="single" w:sz="2" w:space="0" w:color="auto"/>
              <w:bottom w:val="single" w:sz="2" w:space="0" w:color="auto"/>
            </w:tcBorders>
            <w:shd w:val="clear" w:color="auto" w:fill="auto"/>
            <w:noWrap/>
            <w:vAlign w:val="center"/>
            <w:hideMark/>
          </w:tcPr>
          <w:p w:rsidR="00495A33" w:rsidRPr="004E2FAA" w:rsidRDefault="00495A33" w:rsidP="004E2FAA">
            <w:pPr>
              <w:pStyle w:val="cuatexto"/>
            </w:pPr>
            <w:r w:rsidRPr="004E2FAA">
              <w:t>2014</w:t>
            </w:r>
          </w:p>
        </w:tc>
        <w:tc>
          <w:tcPr>
            <w:tcW w:w="2060" w:type="dxa"/>
            <w:tcBorders>
              <w:top w:val="single" w:sz="2" w:space="0" w:color="auto"/>
              <w:bottom w:val="single" w:sz="2" w:space="0" w:color="auto"/>
            </w:tcBorders>
            <w:shd w:val="clear" w:color="auto" w:fill="auto"/>
            <w:noWrap/>
            <w:vAlign w:val="center"/>
            <w:hideMark/>
          </w:tcPr>
          <w:p w:rsidR="00495A33" w:rsidRPr="004E2FAA" w:rsidRDefault="00C313E0" w:rsidP="00DC6189">
            <w:pPr>
              <w:pStyle w:val="cuatexto"/>
              <w:jc w:val="right"/>
            </w:pPr>
            <w:r w:rsidRPr="004E2FAA">
              <w:t>22.</w:t>
            </w:r>
            <w:r w:rsidR="00DC6189">
              <w:t>126.249</w:t>
            </w:r>
          </w:p>
        </w:tc>
      </w:tr>
      <w:tr w:rsidR="00495A33" w:rsidRPr="00495A33" w:rsidTr="007647C1">
        <w:trPr>
          <w:trHeight w:val="284"/>
          <w:jc w:val="center"/>
        </w:trPr>
        <w:tc>
          <w:tcPr>
            <w:tcW w:w="6793" w:type="dxa"/>
            <w:tcBorders>
              <w:top w:val="single" w:sz="2" w:space="0" w:color="auto"/>
              <w:bottom w:val="single" w:sz="4" w:space="0" w:color="auto"/>
            </w:tcBorders>
            <w:shd w:val="clear" w:color="auto" w:fill="auto"/>
            <w:noWrap/>
            <w:vAlign w:val="center"/>
            <w:hideMark/>
          </w:tcPr>
          <w:p w:rsidR="00495A33" w:rsidRPr="004E2FAA" w:rsidRDefault="00495A33" w:rsidP="004E2FAA">
            <w:pPr>
              <w:pStyle w:val="cuatexto"/>
            </w:pPr>
            <w:r w:rsidRPr="004E2FAA">
              <w:t>2015</w:t>
            </w:r>
          </w:p>
        </w:tc>
        <w:tc>
          <w:tcPr>
            <w:tcW w:w="2060" w:type="dxa"/>
            <w:tcBorders>
              <w:top w:val="single" w:sz="2" w:space="0" w:color="auto"/>
              <w:bottom w:val="single" w:sz="4" w:space="0" w:color="auto"/>
            </w:tcBorders>
            <w:shd w:val="clear" w:color="auto" w:fill="auto"/>
            <w:noWrap/>
            <w:vAlign w:val="center"/>
            <w:hideMark/>
          </w:tcPr>
          <w:p w:rsidR="00495A33" w:rsidRPr="004E2FAA" w:rsidRDefault="00C313E0" w:rsidP="004E2FAA">
            <w:pPr>
              <w:pStyle w:val="cuatexto"/>
              <w:jc w:val="right"/>
            </w:pPr>
            <w:r w:rsidRPr="004E2FAA">
              <w:t>50.111.935</w:t>
            </w:r>
          </w:p>
        </w:tc>
      </w:tr>
      <w:tr w:rsidR="00495A33" w:rsidRPr="00495A33" w:rsidTr="007647C1">
        <w:trPr>
          <w:trHeight w:val="284"/>
          <w:jc w:val="center"/>
        </w:trPr>
        <w:tc>
          <w:tcPr>
            <w:tcW w:w="6793" w:type="dxa"/>
            <w:tcBorders>
              <w:top w:val="single" w:sz="4" w:space="0" w:color="auto"/>
              <w:bottom w:val="single" w:sz="4" w:space="0" w:color="auto"/>
            </w:tcBorders>
            <w:shd w:val="clear" w:color="auto" w:fill="A8CBEE" w:themeFill="accent2" w:themeFillTint="66"/>
            <w:noWrap/>
            <w:vAlign w:val="center"/>
            <w:hideMark/>
          </w:tcPr>
          <w:p w:rsidR="00495A33" w:rsidRPr="00495A33" w:rsidRDefault="00495A33" w:rsidP="00495A33">
            <w:pPr>
              <w:pStyle w:val="cuadroCabe"/>
              <w:rPr>
                <w:rFonts w:ascii="Calibri" w:hAnsi="Calibri"/>
                <w:color w:val="000000"/>
                <w:sz w:val="22"/>
                <w:szCs w:val="22"/>
                <w:lang w:val="es-ES" w:eastAsia="es-ES"/>
              </w:rPr>
            </w:pPr>
            <w:r w:rsidRPr="00495A33">
              <w:rPr>
                <w:lang w:val="es-ES" w:eastAsia="es-ES"/>
              </w:rPr>
              <w:t>Total</w:t>
            </w:r>
            <w:r w:rsidR="00175DF0">
              <w:rPr>
                <w:lang w:val="es-ES" w:eastAsia="es-ES"/>
              </w:rPr>
              <w:t xml:space="preserve"> Prescripción</w:t>
            </w:r>
          </w:p>
        </w:tc>
        <w:tc>
          <w:tcPr>
            <w:tcW w:w="2060" w:type="dxa"/>
            <w:tcBorders>
              <w:top w:val="single" w:sz="4" w:space="0" w:color="auto"/>
              <w:bottom w:val="single" w:sz="4" w:space="0" w:color="auto"/>
            </w:tcBorders>
            <w:shd w:val="clear" w:color="auto" w:fill="A8CBEE" w:themeFill="accent2" w:themeFillTint="66"/>
            <w:noWrap/>
            <w:vAlign w:val="center"/>
            <w:hideMark/>
          </w:tcPr>
          <w:p w:rsidR="00495A33" w:rsidRPr="00495A33" w:rsidRDefault="00495A33" w:rsidP="00495A33">
            <w:pPr>
              <w:pStyle w:val="cuadroCabe"/>
              <w:jc w:val="right"/>
              <w:rPr>
                <w:lang w:val="es-ES" w:eastAsia="es-ES"/>
              </w:rPr>
            </w:pPr>
            <w:r w:rsidRPr="00495A33">
              <w:rPr>
                <w:lang w:val="es-ES" w:eastAsia="es-ES"/>
              </w:rPr>
              <w:t>128.855.372</w:t>
            </w:r>
          </w:p>
        </w:tc>
      </w:tr>
    </w:tbl>
    <w:p w:rsidR="00A63248" w:rsidRDefault="00A63248" w:rsidP="001A4A78">
      <w:pPr>
        <w:pStyle w:val="texto"/>
        <w:tabs>
          <w:tab w:val="clear" w:pos="2835"/>
          <w:tab w:val="clear" w:pos="3969"/>
          <w:tab w:val="clear" w:pos="5103"/>
          <w:tab w:val="clear" w:pos="6237"/>
          <w:tab w:val="clear" w:pos="7371"/>
        </w:tabs>
        <w:spacing w:after="0"/>
        <w:ind w:firstLine="0"/>
        <w:rPr>
          <w:szCs w:val="26"/>
        </w:rPr>
      </w:pPr>
    </w:p>
    <w:p w:rsidR="00746F79" w:rsidRPr="00A63248" w:rsidRDefault="00D24BE0" w:rsidP="00CD6BAA">
      <w:pPr>
        <w:pStyle w:val="texto"/>
        <w:tabs>
          <w:tab w:val="clear" w:pos="2835"/>
          <w:tab w:val="clear" w:pos="3969"/>
          <w:tab w:val="clear" w:pos="5103"/>
          <w:tab w:val="clear" w:pos="6237"/>
          <w:tab w:val="clear" w:pos="7371"/>
        </w:tabs>
        <w:rPr>
          <w:szCs w:val="26"/>
        </w:rPr>
      </w:pPr>
      <w:r w:rsidRPr="00A63248">
        <w:rPr>
          <w:szCs w:val="26"/>
        </w:rPr>
        <w:t>De los cuadros anteriores, destacamos:</w:t>
      </w:r>
    </w:p>
    <w:p w:rsidR="00C8719E" w:rsidRPr="00A63248" w:rsidRDefault="00C8719E" w:rsidP="00A77AD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pacing w:val="4"/>
          <w:szCs w:val="26"/>
        </w:rPr>
      </w:pPr>
      <w:r w:rsidRPr="00A63248">
        <w:rPr>
          <w:szCs w:val="26"/>
        </w:rPr>
        <w:t xml:space="preserve">El 98 por ciento de la deuda ha prescrito de oficio por el transcurso de los plazos; </w:t>
      </w:r>
      <w:r w:rsidRPr="00A63248">
        <w:rPr>
          <w:spacing w:val="4"/>
          <w:szCs w:val="26"/>
        </w:rPr>
        <w:t>el dos por ciento restante, procede de quitas.</w:t>
      </w:r>
      <w:r w:rsidR="00A77AD8" w:rsidRPr="00A63248">
        <w:rPr>
          <w:spacing w:val="4"/>
          <w:szCs w:val="26"/>
        </w:rPr>
        <w:t xml:space="preserve"> Estas quitas hacen refere</w:t>
      </w:r>
      <w:r w:rsidR="00A77AD8" w:rsidRPr="00A63248">
        <w:rPr>
          <w:spacing w:val="4"/>
          <w:szCs w:val="26"/>
        </w:rPr>
        <w:t>n</w:t>
      </w:r>
      <w:r w:rsidR="00CD412C">
        <w:rPr>
          <w:spacing w:val="4"/>
          <w:szCs w:val="26"/>
        </w:rPr>
        <w:t>cias a la condonación o liberación de parte de la deuda que se establece judicia</w:t>
      </w:r>
      <w:r w:rsidR="00CD412C">
        <w:rPr>
          <w:spacing w:val="4"/>
          <w:szCs w:val="26"/>
        </w:rPr>
        <w:t>l</w:t>
      </w:r>
      <w:r w:rsidR="00CD412C">
        <w:rPr>
          <w:spacing w:val="4"/>
          <w:szCs w:val="26"/>
        </w:rPr>
        <w:t>mente en la aprobación de</w:t>
      </w:r>
      <w:r w:rsidR="00181E9C">
        <w:rPr>
          <w:spacing w:val="4"/>
          <w:szCs w:val="26"/>
        </w:rPr>
        <w:t xml:space="preserve"> </w:t>
      </w:r>
      <w:r w:rsidR="00CD412C">
        <w:rPr>
          <w:spacing w:val="4"/>
          <w:szCs w:val="26"/>
        </w:rPr>
        <w:t>l</w:t>
      </w:r>
      <w:r w:rsidR="00181E9C">
        <w:rPr>
          <w:spacing w:val="4"/>
          <w:szCs w:val="26"/>
        </w:rPr>
        <w:t>os</w:t>
      </w:r>
      <w:r w:rsidR="00CD412C">
        <w:rPr>
          <w:spacing w:val="4"/>
          <w:szCs w:val="26"/>
        </w:rPr>
        <w:t xml:space="preserve"> convenio</w:t>
      </w:r>
      <w:r w:rsidR="00181E9C">
        <w:rPr>
          <w:spacing w:val="4"/>
          <w:szCs w:val="26"/>
        </w:rPr>
        <w:t>s</w:t>
      </w:r>
      <w:r w:rsidR="00CD412C">
        <w:rPr>
          <w:spacing w:val="4"/>
          <w:szCs w:val="26"/>
        </w:rPr>
        <w:t xml:space="preserve"> de las empresas en concurso.</w:t>
      </w:r>
    </w:p>
    <w:p w:rsidR="00D268C3" w:rsidRPr="00A63248" w:rsidRDefault="00870E9D" w:rsidP="00D268C3">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El 95 por ciento de los importes prescritos estaban en la agencia ejecutiva.</w:t>
      </w:r>
    </w:p>
    <w:p w:rsidR="002A3864" w:rsidRPr="00A63248" w:rsidRDefault="00D268C3" w:rsidP="00C8719E">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 xml:space="preserve">En las prescripciones, </w:t>
      </w:r>
      <w:r w:rsidR="002A3864" w:rsidRPr="00A63248">
        <w:rPr>
          <w:szCs w:val="26"/>
        </w:rPr>
        <w:t>en torno al 30 por ciento corresponde al IVA.</w:t>
      </w:r>
    </w:p>
    <w:p w:rsidR="000A65EC" w:rsidRPr="00A63248" w:rsidRDefault="000A65EC" w:rsidP="009B6FD2">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El total prescrito cor</w:t>
      </w:r>
      <w:r w:rsidR="007230BE" w:rsidRPr="00A63248">
        <w:rPr>
          <w:szCs w:val="26"/>
        </w:rPr>
        <w:t xml:space="preserve">responde a unos 36.000 </w:t>
      </w:r>
      <w:r w:rsidR="00151194">
        <w:rPr>
          <w:szCs w:val="26"/>
        </w:rPr>
        <w:t>contribuyentes</w:t>
      </w:r>
      <w:r w:rsidR="009B6FD2" w:rsidRPr="00A63248">
        <w:rPr>
          <w:szCs w:val="26"/>
        </w:rPr>
        <w:t>. Ese total</w:t>
      </w:r>
      <w:r w:rsidR="00151194">
        <w:rPr>
          <w:szCs w:val="26"/>
        </w:rPr>
        <w:t xml:space="preserve"> de </w:t>
      </w:r>
      <w:r w:rsidR="009B6FD2" w:rsidRPr="00A63248">
        <w:rPr>
          <w:szCs w:val="26"/>
        </w:rPr>
        <w:t xml:space="preserve">lo desglosamos básicamente en: </w:t>
      </w:r>
      <w:r w:rsidRPr="00A63248">
        <w:rPr>
          <w:szCs w:val="26"/>
        </w:rPr>
        <w:t>el 75 por ciento responde a personas físicas –con una deuda prescrita de 20,7 millones</w:t>
      </w:r>
      <w:r w:rsidR="007647C1" w:rsidRPr="00A63248">
        <w:rPr>
          <w:szCs w:val="26"/>
        </w:rPr>
        <w:t>–</w:t>
      </w:r>
      <w:r w:rsidRPr="00A63248">
        <w:rPr>
          <w:szCs w:val="26"/>
        </w:rPr>
        <w:t xml:space="preserve">, el 15 por ciento </w:t>
      </w:r>
      <w:r w:rsidR="009B6FD2" w:rsidRPr="00A63248">
        <w:rPr>
          <w:szCs w:val="26"/>
        </w:rPr>
        <w:t>a</w:t>
      </w:r>
      <w:r w:rsidRPr="00A63248">
        <w:rPr>
          <w:szCs w:val="26"/>
        </w:rPr>
        <w:t xml:space="preserve"> sociedades limitadas –</w:t>
      </w:r>
      <w:r w:rsidRPr="00A63248">
        <w:rPr>
          <w:szCs w:val="26"/>
        </w:rPr>
        <w:lastRenderedPageBreak/>
        <w:t>con 74,7 millones</w:t>
      </w:r>
      <w:r w:rsidR="007647C1" w:rsidRPr="00A63248">
        <w:rPr>
          <w:szCs w:val="26"/>
        </w:rPr>
        <w:t>–</w:t>
      </w:r>
      <w:r w:rsidRPr="00A63248">
        <w:rPr>
          <w:szCs w:val="26"/>
        </w:rPr>
        <w:t>, el cuatro por ciento a socied</w:t>
      </w:r>
      <w:r w:rsidR="009B6FD2" w:rsidRPr="00A63248">
        <w:rPr>
          <w:szCs w:val="26"/>
        </w:rPr>
        <w:t>ades</w:t>
      </w:r>
      <w:r w:rsidRPr="00A63248">
        <w:rPr>
          <w:szCs w:val="26"/>
        </w:rPr>
        <w:t xml:space="preserve"> an</w:t>
      </w:r>
      <w:r w:rsidR="009B6FD2" w:rsidRPr="00A63248">
        <w:rPr>
          <w:szCs w:val="26"/>
        </w:rPr>
        <w:t>ó</w:t>
      </w:r>
      <w:r w:rsidRPr="00A63248">
        <w:rPr>
          <w:szCs w:val="26"/>
        </w:rPr>
        <w:t>nimas –con 21,1 m</w:t>
      </w:r>
      <w:r w:rsidRPr="00A63248">
        <w:rPr>
          <w:szCs w:val="26"/>
        </w:rPr>
        <w:t>i</w:t>
      </w:r>
      <w:r w:rsidRPr="00A63248">
        <w:rPr>
          <w:szCs w:val="26"/>
        </w:rPr>
        <w:t>llones</w:t>
      </w:r>
      <w:r w:rsidR="007647C1" w:rsidRPr="00A63248">
        <w:rPr>
          <w:szCs w:val="26"/>
        </w:rPr>
        <w:t>–</w:t>
      </w:r>
      <w:r w:rsidRPr="00A63248">
        <w:rPr>
          <w:szCs w:val="26"/>
        </w:rPr>
        <w:t xml:space="preserve"> y el cuatro por cien</w:t>
      </w:r>
      <w:r w:rsidR="009B6FD2" w:rsidRPr="00A63248">
        <w:rPr>
          <w:szCs w:val="26"/>
        </w:rPr>
        <w:t>to a comunidades d</w:t>
      </w:r>
      <w:r w:rsidRPr="00A63248">
        <w:rPr>
          <w:szCs w:val="26"/>
        </w:rPr>
        <w:t>e</w:t>
      </w:r>
      <w:r w:rsidR="009B6FD2" w:rsidRPr="00A63248">
        <w:rPr>
          <w:szCs w:val="26"/>
        </w:rPr>
        <w:t xml:space="preserve"> </w:t>
      </w:r>
      <w:r w:rsidRPr="00A63248">
        <w:rPr>
          <w:szCs w:val="26"/>
        </w:rPr>
        <w:t xml:space="preserve">bienes –con </w:t>
      </w:r>
      <w:r w:rsidR="009B6FD2" w:rsidRPr="00A63248">
        <w:rPr>
          <w:szCs w:val="26"/>
        </w:rPr>
        <w:t>10,3 millones</w:t>
      </w:r>
      <w:r w:rsidR="007647C1" w:rsidRPr="00A63248">
        <w:rPr>
          <w:szCs w:val="26"/>
        </w:rPr>
        <w:t>–</w:t>
      </w:r>
      <w:r w:rsidR="009B6FD2" w:rsidRPr="00A63248">
        <w:rPr>
          <w:szCs w:val="26"/>
        </w:rPr>
        <w:t>.</w:t>
      </w:r>
    </w:p>
    <w:p w:rsidR="00175DF0" w:rsidRPr="00A63248" w:rsidRDefault="00175DF0" w:rsidP="00175DF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pacing w:val="0"/>
          <w:szCs w:val="26"/>
        </w:rPr>
      </w:pPr>
      <w:r w:rsidRPr="00A63248">
        <w:rPr>
          <w:spacing w:val="0"/>
          <w:szCs w:val="26"/>
        </w:rPr>
        <w:t>Un número de 37 contribuyentes</w:t>
      </w:r>
      <w:r w:rsidR="00F01384" w:rsidRPr="00A63248">
        <w:rPr>
          <w:spacing w:val="0"/>
          <w:szCs w:val="26"/>
        </w:rPr>
        <w:t>, cuya deuda superaba el medio millón de e</w:t>
      </w:r>
      <w:r w:rsidR="00F01384" w:rsidRPr="00A63248">
        <w:rPr>
          <w:spacing w:val="0"/>
          <w:szCs w:val="26"/>
        </w:rPr>
        <w:t>u</w:t>
      </w:r>
      <w:r w:rsidR="00F01384" w:rsidRPr="00A63248">
        <w:rPr>
          <w:spacing w:val="0"/>
          <w:szCs w:val="26"/>
        </w:rPr>
        <w:t>ros,</w:t>
      </w:r>
      <w:r w:rsidRPr="00A63248">
        <w:rPr>
          <w:spacing w:val="0"/>
          <w:szCs w:val="26"/>
        </w:rPr>
        <w:t xml:space="preserve"> </w:t>
      </w:r>
      <w:r w:rsidR="00CD2BC9" w:rsidRPr="00A63248">
        <w:rPr>
          <w:spacing w:val="0"/>
          <w:szCs w:val="26"/>
        </w:rPr>
        <w:t>concentra</w:t>
      </w:r>
      <w:r w:rsidRPr="00A63248">
        <w:rPr>
          <w:spacing w:val="0"/>
          <w:szCs w:val="26"/>
        </w:rPr>
        <w:t xml:space="preserve"> el 29 por ciento de la deuda total prescrita.</w:t>
      </w:r>
      <w:r w:rsidR="00F01384" w:rsidRPr="00A63248">
        <w:rPr>
          <w:spacing w:val="0"/>
          <w:szCs w:val="26"/>
        </w:rPr>
        <w:t xml:space="preserve"> De ellos, diez superan el millón de euros</w:t>
      </w:r>
      <w:r w:rsidR="000A65EC" w:rsidRPr="00A63248">
        <w:rPr>
          <w:spacing w:val="0"/>
          <w:szCs w:val="26"/>
        </w:rPr>
        <w:t>.</w:t>
      </w:r>
    </w:p>
    <w:p w:rsidR="00175DF0" w:rsidRPr="00A63248" w:rsidRDefault="00175DF0" w:rsidP="00175DF0">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En torno a 3.000 contribuyentes presentaban una deuda prescrita inferior a 100 euros; en prescripciones por ingresos indebidos, en torno a 20.000 contr</w:t>
      </w:r>
      <w:r w:rsidRPr="00A63248">
        <w:rPr>
          <w:szCs w:val="26"/>
        </w:rPr>
        <w:t>i</w:t>
      </w:r>
      <w:r w:rsidRPr="00A63248">
        <w:rPr>
          <w:szCs w:val="26"/>
        </w:rPr>
        <w:t>buyentes presentaban devoluciones inferiores a un euro.</w:t>
      </w:r>
    </w:p>
    <w:p w:rsidR="0090107A" w:rsidRPr="00A63248" w:rsidRDefault="0090107A" w:rsidP="0090107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Las prescripciones de oficio aprobadas en los ejercicios 2014 y 2015 son muy superiores a los de ejercicios anteriores. Históricamente se venía prescr</w:t>
      </w:r>
      <w:r w:rsidRPr="00A63248">
        <w:rPr>
          <w:szCs w:val="26"/>
        </w:rPr>
        <w:t>i</w:t>
      </w:r>
      <w:r w:rsidRPr="00A63248">
        <w:rPr>
          <w:szCs w:val="26"/>
        </w:rPr>
        <w:t>biendo una media c</w:t>
      </w:r>
      <w:r w:rsidR="00CD412C">
        <w:rPr>
          <w:szCs w:val="26"/>
        </w:rPr>
        <w:t>ercana a los 10 millones al año</w:t>
      </w:r>
      <w:r w:rsidR="00181E9C">
        <w:rPr>
          <w:szCs w:val="26"/>
        </w:rPr>
        <w:t xml:space="preserve"> mediante</w:t>
      </w:r>
      <w:r w:rsidR="00CD412C">
        <w:rPr>
          <w:szCs w:val="26"/>
        </w:rPr>
        <w:t xml:space="preserve"> dos expedientes de p</w:t>
      </w:r>
      <w:r w:rsidRPr="00A63248">
        <w:rPr>
          <w:szCs w:val="26"/>
        </w:rPr>
        <w:t>rescripciones de ofi</w:t>
      </w:r>
      <w:r w:rsidR="00CD412C">
        <w:rPr>
          <w:szCs w:val="26"/>
        </w:rPr>
        <w:t>cio</w:t>
      </w:r>
      <w:r w:rsidR="00181E9C">
        <w:rPr>
          <w:szCs w:val="26"/>
        </w:rPr>
        <w:t>,</w:t>
      </w:r>
      <w:r w:rsidR="00CD412C">
        <w:rPr>
          <w:szCs w:val="26"/>
        </w:rPr>
        <w:t xml:space="preserve"> </w:t>
      </w:r>
      <w:r w:rsidRPr="00A63248">
        <w:rPr>
          <w:szCs w:val="26"/>
        </w:rPr>
        <w:t>con una media de cinco millones cada un</w:t>
      </w:r>
      <w:r w:rsidR="00CD412C">
        <w:rPr>
          <w:szCs w:val="26"/>
        </w:rPr>
        <w:t>o</w:t>
      </w:r>
      <w:r w:rsidRPr="00A63248">
        <w:rPr>
          <w:szCs w:val="26"/>
        </w:rPr>
        <w:t xml:space="preserve">. En 2014 y 2015, sin embargo, la cuantía prescrita es muy superior debido a un cambio de criterio, ya que se procura dar de baja toda la deuda prescrita de la que se tiene conocimiento, con independencia de su importe. </w:t>
      </w:r>
    </w:p>
    <w:p w:rsidR="00EA3404" w:rsidRPr="00A63248" w:rsidRDefault="00EA3404" w:rsidP="006A2986">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szCs w:val="26"/>
        </w:rPr>
      </w:pPr>
      <w:r w:rsidRPr="00A63248">
        <w:rPr>
          <w:szCs w:val="26"/>
        </w:rPr>
        <w:t>Se ha analizado de forma más detallada la información que se desprende de las prescripciones de 2014 y 2015.</w:t>
      </w:r>
    </w:p>
    <w:p w:rsidR="009713FB" w:rsidRPr="00A63248" w:rsidRDefault="00EA3404" w:rsidP="009713FB">
      <w:pPr>
        <w:pStyle w:val="texto"/>
        <w:tabs>
          <w:tab w:val="clear" w:pos="2835"/>
          <w:tab w:val="clear" w:pos="3969"/>
          <w:tab w:val="clear" w:pos="5103"/>
          <w:tab w:val="clear" w:pos="6237"/>
          <w:tab w:val="clear" w:pos="7371"/>
        </w:tabs>
        <w:rPr>
          <w:szCs w:val="26"/>
        </w:rPr>
      </w:pPr>
      <w:r w:rsidRPr="00A63248">
        <w:rPr>
          <w:szCs w:val="26"/>
        </w:rPr>
        <w:t xml:space="preserve">a) Prescripciones 2014. </w:t>
      </w:r>
      <w:r w:rsidR="009713FB" w:rsidRPr="00A63248">
        <w:rPr>
          <w:szCs w:val="26"/>
        </w:rPr>
        <w:t>En este ejercicio y mediante tres resoluciones del D</w:t>
      </w:r>
      <w:r w:rsidR="009713FB" w:rsidRPr="00A63248">
        <w:rPr>
          <w:szCs w:val="26"/>
        </w:rPr>
        <w:t>i</w:t>
      </w:r>
      <w:r w:rsidR="009713FB" w:rsidRPr="00A63248">
        <w:rPr>
          <w:szCs w:val="26"/>
        </w:rPr>
        <w:t>rector Gerente de HTN, prescriben deudas por importe de 22,</w:t>
      </w:r>
      <w:r w:rsidR="00B83D77" w:rsidRPr="00A63248">
        <w:rPr>
          <w:szCs w:val="26"/>
        </w:rPr>
        <w:t>13</w:t>
      </w:r>
      <w:r w:rsidR="009713FB" w:rsidRPr="00A63248">
        <w:rPr>
          <w:szCs w:val="26"/>
        </w:rPr>
        <w:t xml:space="preserve"> millones, que corresponden básicamente a deuda devengada entre los ejercicios de 2002 a 2007, aunque incluye deudas desde los años 80 y siguientes.</w:t>
      </w:r>
    </w:p>
    <w:p w:rsidR="009713FB" w:rsidRPr="00A63248" w:rsidRDefault="009713FB" w:rsidP="000F04AF">
      <w:pPr>
        <w:pStyle w:val="texto"/>
        <w:tabs>
          <w:tab w:val="clear" w:pos="2835"/>
          <w:tab w:val="clear" w:pos="3969"/>
          <w:tab w:val="clear" w:pos="5103"/>
          <w:tab w:val="clear" w:pos="6237"/>
          <w:tab w:val="clear" w:pos="7371"/>
        </w:tabs>
        <w:spacing w:after="200"/>
        <w:rPr>
          <w:szCs w:val="26"/>
        </w:rPr>
      </w:pPr>
      <w:r w:rsidRPr="00A63248">
        <w:rPr>
          <w:szCs w:val="26"/>
        </w:rPr>
        <w:t>Atendiendo al volumen de deuda por contribuyente, en el cuadro siguiente mostramos</w:t>
      </w:r>
      <w:r w:rsidR="007647C1" w:rsidRPr="00A63248">
        <w:rPr>
          <w:szCs w:val="26"/>
        </w:rPr>
        <w:t>, en euros,</w:t>
      </w:r>
      <w:r w:rsidRPr="00A63248">
        <w:rPr>
          <w:szCs w:val="26"/>
        </w:rPr>
        <w:t xml:space="preserve"> tales prescripciones: </w:t>
      </w:r>
    </w:p>
    <w:tbl>
      <w:tblPr>
        <w:tblW w:w="9073" w:type="dxa"/>
        <w:tblInd w:w="70" w:type="dxa"/>
        <w:tblCellMar>
          <w:left w:w="70" w:type="dxa"/>
          <w:right w:w="70" w:type="dxa"/>
        </w:tblCellMar>
        <w:tblLook w:val="04A0" w:firstRow="1" w:lastRow="0" w:firstColumn="1" w:lastColumn="0" w:noHBand="0" w:noVBand="1"/>
      </w:tblPr>
      <w:tblGrid>
        <w:gridCol w:w="3686"/>
        <w:gridCol w:w="1276"/>
        <w:gridCol w:w="1417"/>
        <w:gridCol w:w="1418"/>
        <w:gridCol w:w="1276"/>
      </w:tblGrid>
      <w:tr w:rsidR="00251342" w:rsidRPr="007647C1" w:rsidTr="007647C1">
        <w:trPr>
          <w:trHeight w:val="284"/>
        </w:trPr>
        <w:tc>
          <w:tcPr>
            <w:tcW w:w="3686" w:type="dxa"/>
            <w:tcBorders>
              <w:top w:val="single" w:sz="4" w:space="0" w:color="auto"/>
              <w:bottom w:val="single" w:sz="4" w:space="0" w:color="auto"/>
            </w:tcBorders>
            <w:shd w:val="clear" w:color="auto" w:fill="A8CBEE" w:themeFill="accent2" w:themeFillTint="66"/>
            <w:noWrap/>
            <w:vAlign w:val="center"/>
            <w:hideMark/>
          </w:tcPr>
          <w:p w:rsidR="00251342" w:rsidRPr="007647C1" w:rsidRDefault="00251342" w:rsidP="001A6511">
            <w:pPr>
              <w:spacing w:after="0"/>
              <w:ind w:firstLine="0"/>
              <w:jc w:val="left"/>
              <w:rPr>
                <w:rFonts w:ascii="Arial" w:hAnsi="Arial" w:cs="Arial"/>
                <w:bCs/>
                <w:color w:val="000000"/>
                <w:sz w:val="18"/>
                <w:szCs w:val="18"/>
                <w:lang w:val="es-ES" w:eastAsia="es-ES"/>
              </w:rPr>
            </w:pPr>
            <w:r w:rsidRPr="007647C1">
              <w:rPr>
                <w:rFonts w:ascii="Arial" w:hAnsi="Arial" w:cs="Arial"/>
                <w:bCs/>
                <w:color w:val="000000"/>
                <w:sz w:val="18"/>
                <w:szCs w:val="18"/>
                <w:lang w:val="es-ES" w:eastAsia="es-ES"/>
              </w:rPr>
              <w:t>Intervalo de deudores-Prescripciones 2014</w:t>
            </w:r>
          </w:p>
        </w:tc>
        <w:tc>
          <w:tcPr>
            <w:tcW w:w="1276" w:type="dxa"/>
            <w:tcBorders>
              <w:top w:val="single" w:sz="4" w:space="0" w:color="auto"/>
              <w:bottom w:val="single" w:sz="4" w:space="0" w:color="auto"/>
            </w:tcBorders>
            <w:shd w:val="clear" w:color="auto" w:fill="A8CBEE" w:themeFill="accent2" w:themeFillTint="66"/>
            <w:noWrap/>
            <w:vAlign w:val="center"/>
            <w:hideMark/>
          </w:tcPr>
          <w:p w:rsidR="00251342" w:rsidRPr="007647C1" w:rsidRDefault="00251342" w:rsidP="007647C1">
            <w:pPr>
              <w:spacing w:after="0"/>
              <w:ind w:firstLine="0"/>
              <w:jc w:val="right"/>
              <w:rPr>
                <w:rFonts w:ascii="Arial" w:hAnsi="Arial" w:cs="Arial"/>
                <w:bCs/>
                <w:color w:val="000000"/>
                <w:sz w:val="18"/>
                <w:szCs w:val="18"/>
                <w:lang w:val="es-ES" w:eastAsia="es-ES"/>
              </w:rPr>
            </w:pPr>
            <w:r w:rsidRPr="007647C1">
              <w:rPr>
                <w:rFonts w:ascii="Arial" w:hAnsi="Arial" w:cs="Arial"/>
                <w:bCs/>
                <w:color w:val="000000"/>
                <w:sz w:val="18"/>
                <w:szCs w:val="18"/>
                <w:lang w:val="es-ES" w:eastAsia="es-ES"/>
              </w:rPr>
              <w:t>Importe</w:t>
            </w:r>
          </w:p>
        </w:tc>
        <w:tc>
          <w:tcPr>
            <w:tcW w:w="1417" w:type="dxa"/>
            <w:tcBorders>
              <w:top w:val="single" w:sz="4" w:space="0" w:color="auto"/>
              <w:bottom w:val="single" w:sz="4" w:space="0" w:color="auto"/>
            </w:tcBorders>
            <w:shd w:val="clear" w:color="auto" w:fill="A8CBEE" w:themeFill="accent2" w:themeFillTint="66"/>
            <w:vAlign w:val="center"/>
            <w:hideMark/>
          </w:tcPr>
          <w:p w:rsidR="00251342" w:rsidRPr="007647C1" w:rsidRDefault="00251342" w:rsidP="007647C1">
            <w:pPr>
              <w:spacing w:after="0"/>
              <w:ind w:firstLine="0"/>
              <w:jc w:val="right"/>
              <w:rPr>
                <w:rFonts w:ascii="Arial" w:hAnsi="Arial" w:cs="Arial"/>
                <w:bCs/>
                <w:color w:val="000000"/>
                <w:sz w:val="18"/>
                <w:szCs w:val="18"/>
                <w:lang w:val="es-ES" w:eastAsia="es-ES"/>
              </w:rPr>
            </w:pPr>
            <w:r w:rsidRPr="007647C1">
              <w:rPr>
                <w:rFonts w:ascii="Arial" w:hAnsi="Arial" w:cs="Arial"/>
                <w:bCs/>
                <w:color w:val="000000"/>
                <w:sz w:val="18"/>
                <w:szCs w:val="18"/>
                <w:lang w:val="es-ES" w:eastAsia="es-ES"/>
              </w:rPr>
              <w:t xml:space="preserve">Numero </w:t>
            </w:r>
          </w:p>
          <w:p w:rsidR="00251342" w:rsidRPr="007647C1" w:rsidRDefault="00251342" w:rsidP="007647C1">
            <w:pPr>
              <w:spacing w:after="0"/>
              <w:ind w:firstLine="0"/>
              <w:jc w:val="right"/>
              <w:rPr>
                <w:rFonts w:ascii="Arial" w:hAnsi="Arial" w:cs="Arial"/>
                <w:bCs/>
                <w:color w:val="000000"/>
                <w:sz w:val="18"/>
                <w:szCs w:val="18"/>
                <w:lang w:val="es-ES" w:eastAsia="es-ES"/>
              </w:rPr>
            </w:pPr>
            <w:r w:rsidRPr="007647C1">
              <w:rPr>
                <w:rFonts w:ascii="Arial" w:hAnsi="Arial" w:cs="Arial"/>
                <w:bCs/>
                <w:color w:val="000000"/>
                <w:sz w:val="18"/>
                <w:szCs w:val="18"/>
                <w:lang w:val="es-ES" w:eastAsia="es-ES"/>
              </w:rPr>
              <w:t>contribuyentes</w:t>
            </w:r>
          </w:p>
        </w:tc>
        <w:tc>
          <w:tcPr>
            <w:tcW w:w="1418" w:type="dxa"/>
            <w:tcBorders>
              <w:top w:val="single" w:sz="4" w:space="0" w:color="auto"/>
              <w:bottom w:val="single" w:sz="4" w:space="0" w:color="auto"/>
            </w:tcBorders>
            <w:shd w:val="clear" w:color="auto" w:fill="A8CBEE" w:themeFill="accent2" w:themeFillTint="66"/>
            <w:vAlign w:val="center"/>
            <w:hideMark/>
          </w:tcPr>
          <w:p w:rsidR="00251342" w:rsidRPr="007647C1" w:rsidRDefault="00251342" w:rsidP="007647C1">
            <w:pPr>
              <w:spacing w:after="0"/>
              <w:ind w:firstLine="0"/>
              <w:jc w:val="right"/>
              <w:rPr>
                <w:rFonts w:ascii="Arial" w:hAnsi="Arial" w:cs="Arial"/>
                <w:bCs/>
                <w:color w:val="000000"/>
                <w:sz w:val="18"/>
                <w:szCs w:val="18"/>
                <w:lang w:val="es-ES" w:eastAsia="es-ES"/>
              </w:rPr>
            </w:pPr>
            <w:r w:rsidRPr="007647C1">
              <w:rPr>
                <w:rFonts w:ascii="Arial" w:hAnsi="Arial" w:cs="Arial"/>
                <w:bCs/>
                <w:color w:val="000000"/>
                <w:sz w:val="18"/>
                <w:szCs w:val="18"/>
                <w:lang w:val="es-ES" w:eastAsia="es-ES"/>
              </w:rPr>
              <w:t xml:space="preserve">Importe </w:t>
            </w:r>
          </w:p>
          <w:p w:rsidR="00251342" w:rsidRPr="007647C1" w:rsidRDefault="00251342" w:rsidP="007647C1">
            <w:pPr>
              <w:spacing w:after="0"/>
              <w:ind w:firstLine="0"/>
              <w:jc w:val="right"/>
              <w:rPr>
                <w:rFonts w:ascii="Arial" w:hAnsi="Arial" w:cs="Arial"/>
                <w:bCs/>
                <w:color w:val="000000"/>
                <w:sz w:val="18"/>
                <w:szCs w:val="18"/>
                <w:lang w:val="es-ES" w:eastAsia="es-ES"/>
              </w:rPr>
            </w:pPr>
            <w:r w:rsidRPr="007647C1">
              <w:rPr>
                <w:rFonts w:ascii="Arial" w:hAnsi="Arial" w:cs="Arial"/>
                <w:bCs/>
                <w:color w:val="000000"/>
                <w:sz w:val="18"/>
                <w:szCs w:val="18"/>
                <w:lang w:val="es-ES" w:eastAsia="es-ES"/>
              </w:rPr>
              <w:t>acumulado</w:t>
            </w:r>
          </w:p>
        </w:tc>
        <w:tc>
          <w:tcPr>
            <w:tcW w:w="1276" w:type="dxa"/>
            <w:tcBorders>
              <w:top w:val="single" w:sz="4" w:space="0" w:color="auto"/>
              <w:bottom w:val="single" w:sz="4" w:space="0" w:color="auto"/>
            </w:tcBorders>
            <w:shd w:val="clear" w:color="auto" w:fill="A8CBEE" w:themeFill="accent2" w:themeFillTint="66"/>
            <w:vAlign w:val="center"/>
            <w:hideMark/>
          </w:tcPr>
          <w:p w:rsidR="00251342" w:rsidRPr="007647C1" w:rsidRDefault="00251342" w:rsidP="007647C1">
            <w:pPr>
              <w:spacing w:after="0"/>
              <w:ind w:firstLine="0"/>
              <w:jc w:val="right"/>
              <w:rPr>
                <w:rFonts w:ascii="Arial" w:hAnsi="Arial" w:cs="Arial"/>
                <w:bCs/>
                <w:color w:val="000000"/>
                <w:sz w:val="18"/>
                <w:szCs w:val="18"/>
                <w:lang w:val="es-ES" w:eastAsia="es-ES"/>
              </w:rPr>
            </w:pPr>
            <w:r w:rsidRPr="007647C1">
              <w:rPr>
                <w:rFonts w:ascii="Arial" w:hAnsi="Arial" w:cs="Arial"/>
                <w:bCs/>
                <w:color w:val="000000"/>
                <w:sz w:val="18"/>
                <w:szCs w:val="18"/>
                <w:lang w:val="es-ES" w:eastAsia="es-ES"/>
              </w:rPr>
              <w:t>% intervalo s/total</w:t>
            </w:r>
          </w:p>
        </w:tc>
      </w:tr>
      <w:tr w:rsidR="001A6511" w:rsidRPr="001A6511" w:rsidTr="007647C1">
        <w:trPr>
          <w:trHeight w:val="284"/>
        </w:trPr>
        <w:tc>
          <w:tcPr>
            <w:tcW w:w="3686" w:type="dxa"/>
            <w:tcBorders>
              <w:top w:val="single" w:sz="4" w:space="0" w:color="auto"/>
              <w:bottom w:val="single" w:sz="2" w:space="0" w:color="auto"/>
            </w:tcBorders>
            <w:shd w:val="clear" w:color="auto" w:fill="auto"/>
            <w:noWrap/>
            <w:vAlign w:val="center"/>
            <w:hideMark/>
          </w:tcPr>
          <w:p w:rsidR="001A6511" w:rsidRPr="004E2FAA" w:rsidRDefault="00151194" w:rsidP="004E2FAA">
            <w:pPr>
              <w:pStyle w:val="cuatexto"/>
            </w:pPr>
            <w:r>
              <w:t>Más de 150.000</w:t>
            </w:r>
            <w:r w:rsidR="001A6511" w:rsidRPr="004E2FAA">
              <w:t xml:space="preserve"> ( deudores gran cuantía)</w:t>
            </w:r>
          </w:p>
        </w:tc>
        <w:tc>
          <w:tcPr>
            <w:tcW w:w="1276" w:type="dxa"/>
            <w:tcBorders>
              <w:top w:val="single" w:sz="4"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19.725.698</w:t>
            </w:r>
          </w:p>
        </w:tc>
        <w:tc>
          <w:tcPr>
            <w:tcW w:w="1417" w:type="dxa"/>
            <w:tcBorders>
              <w:top w:val="single" w:sz="4"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37</w:t>
            </w:r>
          </w:p>
        </w:tc>
        <w:tc>
          <w:tcPr>
            <w:tcW w:w="1418" w:type="dxa"/>
            <w:tcBorders>
              <w:top w:val="single" w:sz="4"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19.725.698</w:t>
            </w:r>
          </w:p>
        </w:tc>
        <w:tc>
          <w:tcPr>
            <w:tcW w:w="1276" w:type="dxa"/>
            <w:tcBorders>
              <w:top w:val="single" w:sz="4"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89,15</w:t>
            </w:r>
          </w:p>
        </w:tc>
      </w:tr>
      <w:tr w:rsidR="001A6511" w:rsidRPr="001A6511" w:rsidTr="007647C1">
        <w:trPr>
          <w:trHeight w:val="284"/>
        </w:trPr>
        <w:tc>
          <w:tcPr>
            <w:tcW w:w="3686" w:type="dxa"/>
            <w:tcBorders>
              <w:top w:val="single" w:sz="2" w:space="0" w:color="auto"/>
              <w:bottom w:val="single" w:sz="2" w:space="0" w:color="auto"/>
            </w:tcBorders>
            <w:shd w:val="clear" w:color="auto" w:fill="auto"/>
            <w:noWrap/>
            <w:vAlign w:val="center"/>
            <w:hideMark/>
          </w:tcPr>
          <w:p w:rsidR="001A6511" w:rsidRPr="004E2FAA" w:rsidRDefault="00151194" w:rsidP="00151194">
            <w:pPr>
              <w:pStyle w:val="cuatexto"/>
            </w:pPr>
            <w:r>
              <w:t xml:space="preserve">Entre </w:t>
            </w:r>
            <w:r w:rsidR="001A6511" w:rsidRPr="004E2FAA">
              <w:t>50.00</w:t>
            </w:r>
            <w:r>
              <w:t>1</w:t>
            </w:r>
            <w:r w:rsidR="001A6511" w:rsidRPr="004E2FAA">
              <w:t xml:space="preserve"> y </w:t>
            </w:r>
            <w:r>
              <w:t>1</w:t>
            </w:r>
            <w:r w:rsidR="001A6511" w:rsidRPr="004E2FAA">
              <w:t xml:space="preserve">50.000 </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1.279.613</w:t>
            </w:r>
          </w:p>
        </w:tc>
        <w:tc>
          <w:tcPr>
            <w:tcW w:w="1417"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14</w:t>
            </w:r>
          </w:p>
        </w:tc>
        <w:tc>
          <w:tcPr>
            <w:tcW w:w="1418"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21.005.311</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5,78</w:t>
            </w:r>
          </w:p>
        </w:tc>
      </w:tr>
      <w:tr w:rsidR="001A6511" w:rsidRPr="001A6511" w:rsidTr="007647C1">
        <w:trPr>
          <w:trHeight w:val="284"/>
        </w:trPr>
        <w:tc>
          <w:tcPr>
            <w:tcW w:w="3686" w:type="dxa"/>
            <w:tcBorders>
              <w:top w:val="single" w:sz="2" w:space="0" w:color="auto"/>
              <w:bottom w:val="single" w:sz="2" w:space="0" w:color="auto"/>
            </w:tcBorders>
            <w:shd w:val="clear" w:color="auto" w:fill="auto"/>
            <w:noWrap/>
            <w:vAlign w:val="center"/>
            <w:hideMark/>
          </w:tcPr>
          <w:p w:rsidR="001A6511" w:rsidRPr="004E2FAA" w:rsidRDefault="001A6511" w:rsidP="00151194">
            <w:pPr>
              <w:pStyle w:val="cuatexto"/>
            </w:pPr>
            <w:r w:rsidRPr="004E2FAA">
              <w:t xml:space="preserve">Entre </w:t>
            </w:r>
            <w:r w:rsidR="00151194">
              <w:t xml:space="preserve">25.001 y </w:t>
            </w:r>
            <w:r w:rsidRPr="004E2FAA">
              <w:t>50.000</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570.097</w:t>
            </w:r>
          </w:p>
        </w:tc>
        <w:tc>
          <w:tcPr>
            <w:tcW w:w="1417"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17</w:t>
            </w:r>
          </w:p>
        </w:tc>
        <w:tc>
          <w:tcPr>
            <w:tcW w:w="1418"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21.575.408</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2,58</w:t>
            </w:r>
          </w:p>
        </w:tc>
      </w:tr>
      <w:tr w:rsidR="001A6511" w:rsidRPr="001A6511" w:rsidTr="007647C1">
        <w:trPr>
          <w:trHeight w:val="284"/>
        </w:trPr>
        <w:tc>
          <w:tcPr>
            <w:tcW w:w="3686" w:type="dxa"/>
            <w:tcBorders>
              <w:top w:val="single" w:sz="2" w:space="0" w:color="auto"/>
              <w:bottom w:val="single" w:sz="2" w:space="0" w:color="auto"/>
            </w:tcBorders>
            <w:shd w:val="clear" w:color="auto" w:fill="auto"/>
            <w:noWrap/>
            <w:vAlign w:val="center"/>
            <w:hideMark/>
          </w:tcPr>
          <w:p w:rsidR="001A6511" w:rsidRPr="004E2FAA" w:rsidRDefault="00151194" w:rsidP="00151194">
            <w:pPr>
              <w:pStyle w:val="cuatexto"/>
            </w:pPr>
            <w:r>
              <w:t xml:space="preserve">Entre </w:t>
            </w:r>
            <w:r w:rsidR="001A6511" w:rsidRPr="004E2FAA">
              <w:t>5.00</w:t>
            </w:r>
            <w:r>
              <w:t>1 y 25.000</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365.409</w:t>
            </w:r>
          </w:p>
        </w:tc>
        <w:tc>
          <w:tcPr>
            <w:tcW w:w="1417"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31</w:t>
            </w:r>
          </w:p>
        </w:tc>
        <w:tc>
          <w:tcPr>
            <w:tcW w:w="1418"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21.940.817</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1,65</w:t>
            </w:r>
          </w:p>
        </w:tc>
      </w:tr>
      <w:tr w:rsidR="001A6511" w:rsidRPr="001A6511" w:rsidTr="007647C1">
        <w:trPr>
          <w:trHeight w:val="284"/>
        </w:trPr>
        <w:tc>
          <w:tcPr>
            <w:tcW w:w="3686" w:type="dxa"/>
            <w:tcBorders>
              <w:top w:val="single" w:sz="2" w:space="0" w:color="auto"/>
              <w:bottom w:val="single" w:sz="2" w:space="0" w:color="auto"/>
            </w:tcBorders>
            <w:shd w:val="clear" w:color="auto" w:fill="auto"/>
            <w:noWrap/>
            <w:vAlign w:val="center"/>
            <w:hideMark/>
          </w:tcPr>
          <w:p w:rsidR="001A6511" w:rsidRPr="004E2FAA" w:rsidRDefault="001A6511" w:rsidP="00151194">
            <w:pPr>
              <w:pStyle w:val="cuatexto"/>
            </w:pPr>
            <w:r w:rsidRPr="004E2FAA">
              <w:t xml:space="preserve">Entre </w:t>
            </w:r>
            <w:r w:rsidR="00151194">
              <w:t xml:space="preserve">1.001 y </w:t>
            </w:r>
            <w:r w:rsidRPr="004E2FAA">
              <w:t>5.00</w:t>
            </w:r>
            <w:r w:rsidR="00151194">
              <w:t>0</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132.716</w:t>
            </w:r>
          </w:p>
        </w:tc>
        <w:tc>
          <w:tcPr>
            <w:tcW w:w="1417"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56</w:t>
            </w:r>
          </w:p>
        </w:tc>
        <w:tc>
          <w:tcPr>
            <w:tcW w:w="1418"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22.073.533</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0,6</w:t>
            </w:r>
          </w:p>
        </w:tc>
      </w:tr>
      <w:tr w:rsidR="001A6511" w:rsidRPr="001A6511" w:rsidTr="007647C1">
        <w:trPr>
          <w:trHeight w:val="284"/>
        </w:trPr>
        <w:tc>
          <w:tcPr>
            <w:tcW w:w="3686" w:type="dxa"/>
            <w:tcBorders>
              <w:top w:val="single" w:sz="2" w:space="0" w:color="auto"/>
              <w:bottom w:val="single" w:sz="2" w:space="0" w:color="auto"/>
            </w:tcBorders>
            <w:shd w:val="clear" w:color="auto" w:fill="auto"/>
            <w:noWrap/>
            <w:vAlign w:val="center"/>
            <w:hideMark/>
          </w:tcPr>
          <w:p w:rsidR="001A6511" w:rsidRPr="004E2FAA" w:rsidRDefault="00151194" w:rsidP="004E2FAA">
            <w:pPr>
              <w:pStyle w:val="cuatexto"/>
            </w:pPr>
            <w:r>
              <w:t xml:space="preserve">Entre </w:t>
            </w:r>
            <w:r w:rsidR="001A6511" w:rsidRPr="004E2FAA">
              <w:t>50</w:t>
            </w:r>
            <w:r>
              <w:t>1 y 1.00</w:t>
            </w:r>
            <w:r w:rsidR="001A6511" w:rsidRPr="004E2FAA">
              <w:t>0</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33.279</w:t>
            </w:r>
          </w:p>
        </w:tc>
        <w:tc>
          <w:tcPr>
            <w:tcW w:w="1417"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48</w:t>
            </w:r>
          </w:p>
        </w:tc>
        <w:tc>
          <w:tcPr>
            <w:tcW w:w="1418"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22.106.813</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0,15</w:t>
            </w:r>
          </w:p>
        </w:tc>
      </w:tr>
      <w:tr w:rsidR="001A6511" w:rsidRPr="001A6511" w:rsidTr="007647C1">
        <w:trPr>
          <w:trHeight w:val="284"/>
        </w:trPr>
        <w:tc>
          <w:tcPr>
            <w:tcW w:w="3686" w:type="dxa"/>
            <w:tcBorders>
              <w:top w:val="single" w:sz="2" w:space="0" w:color="auto"/>
              <w:bottom w:val="single" w:sz="2" w:space="0" w:color="auto"/>
            </w:tcBorders>
            <w:shd w:val="clear" w:color="auto" w:fill="auto"/>
            <w:noWrap/>
            <w:vAlign w:val="center"/>
            <w:hideMark/>
          </w:tcPr>
          <w:p w:rsidR="001A6511" w:rsidRPr="004E2FAA" w:rsidRDefault="001A6511" w:rsidP="004E2FAA">
            <w:pPr>
              <w:pStyle w:val="cuatexto"/>
            </w:pPr>
            <w:r w:rsidRPr="004E2FAA">
              <w:t>Menos de 500</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22.608</w:t>
            </w:r>
          </w:p>
        </w:tc>
        <w:tc>
          <w:tcPr>
            <w:tcW w:w="1417"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115</w:t>
            </w:r>
          </w:p>
        </w:tc>
        <w:tc>
          <w:tcPr>
            <w:tcW w:w="1418"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22.129.421</w:t>
            </w:r>
          </w:p>
        </w:tc>
        <w:tc>
          <w:tcPr>
            <w:tcW w:w="1276" w:type="dxa"/>
            <w:tcBorders>
              <w:top w:val="single" w:sz="2" w:space="0" w:color="auto"/>
              <w:bottom w:val="single" w:sz="2" w:space="0" w:color="auto"/>
            </w:tcBorders>
            <w:shd w:val="clear" w:color="auto" w:fill="auto"/>
            <w:noWrap/>
            <w:vAlign w:val="center"/>
            <w:hideMark/>
          </w:tcPr>
          <w:p w:rsidR="001A6511" w:rsidRPr="004E2FAA" w:rsidRDefault="001A6511" w:rsidP="007647C1">
            <w:pPr>
              <w:pStyle w:val="cuatexto"/>
              <w:jc w:val="right"/>
            </w:pPr>
            <w:r w:rsidRPr="004E2FAA">
              <w:t>0,1</w:t>
            </w:r>
          </w:p>
        </w:tc>
      </w:tr>
      <w:tr w:rsidR="001A6511" w:rsidRPr="001A6511" w:rsidTr="007647C1">
        <w:trPr>
          <w:trHeight w:val="284"/>
        </w:trPr>
        <w:tc>
          <w:tcPr>
            <w:tcW w:w="3686" w:type="dxa"/>
            <w:tcBorders>
              <w:top w:val="single" w:sz="2" w:space="0" w:color="auto"/>
              <w:bottom w:val="single" w:sz="4" w:space="0" w:color="auto"/>
            </w:tcBorders>
            <w:shd w:val="clear" w:color="auto" w:fill="auto"/>
            <w:noWrap/>
            <w:vAlign w:val="center"/>
            <w:hideMark/>
          </w:tcPr>
          <w:p w:rsidR="001A6511" w:rsidRPr="004E2FAA" w:rsidRDefault="001A6511" w:rsidP="004E2FAA">
            <w:pPr>
              <w:pStyle w:val="cuatexto"/>
            </w:pPr>
            <w:r w:rsidRPr="004E2FAA">
              <w:t>Devolución de ingresos</w:t>
            </w:r>
          </w:p>
        </w:tc>
        <w:tc>
          <w:tcPr>
            <w:tcW w:w="1276" w:type="dxa"/>
            <w:tcBorders>
              <w:top w:val="single" w:sz="2" w:space="0" w:color="auto"/>
              <w:bottom w:val="single" w:sz="4" w:space="0" w:color="auto"/>
            </w:tcBorders>
            <w:shd w:val="clear" w:color="auto" w:fill="auto"/>
            <w:noWrap/>
            <w:vAlign w:val="center"/>
            <w:hideMark/>
          </w:tcPr>
          <w:p w:rsidR="001A6511" w:rsidRPr="004E2FAA" w:rsidRDefault="001A6511" w:rsidP="007647C1">
            <w:pPr>
              <w:pStyle w:val="cuatexto"/>
              <w:jc w:val="right"/>
            </w:pPr>
            <w:r w:rsidRPr="004E2FAA">
              <w:t>-3.171</w:t>
            </w:r>
          </w:p>
        </w:tc>
        <w:tc>
          <w:tcPr>
            <w:tcW w:w="1417" w:type="dxa"/>
            <w:tcBorders>
              <w:top w:val="single" w:sz="2" w:space="0" w:color="auto"/>
              <w:bottom w:val="single" w:sz="4" w:space="0" w:color="auto"/>
            </w:tcBorders>
            <w:shd w:val="clear" w:color="auto" w:fill="auto"/>
            <w:noWrap/>
            <w:vAlign w:val="center"/>
            <w:hideMark/>
          </w:tcPr>
          <w:p w:rsidR="001A6511" w:rsidRPr="004E2FAA" w:rsidRDefault="001A6511" w:rsidP="007647C1">
            <w:pPr>
              <w:pStyle w:val="cuatexto"/>
              <w:jc w:val="right"/>
            </w:pPr>
            <w:r w:rsidRPr="004E2FAA">
              <w:t>3</w:t>
            </w:r>
          </w:p>
        </w:tc>
        <w:tc>
          <w:tcPr>
            <w:tcW w:w="1418" w:type="dxa"/>
            <w:tcBorders>
              <w:top w:val="single" w:sz="2" w:space="0" w:color="auto"/>
              <w:bottom w:val="single" w:sz="4" w:space="0" w:color="auto"/>
            </w:tcBorders>
            <w:shd w:val="clear" w:color="auto" w:fill="auto"/>
            <w:noWrap/>
            <w:vAlign w:val="center"/>
            <w:hideMark/>
          </w:tcPr>
          <w:p w:rsidR="001A6511" w:rsidRPr="004E2FAA" w:rsidRDefault="001A6511" w:rsidP="007647C1">
            <w:pPr>
              <w:pStyle w:val="cuatexto"/>
              <w:jc w:val="right"/>
            </w:pPr>
            <w:r w:rsidRPr="004E2FAA">
              <w:t>22.126.249</w:t>
            </w:r>
          </w:p>
        </w:tc>
        <w:tc>
          <w:tcPr>
            <w:tcW w:w="1276" w:type="dxa"/>
            <w:tcBorders>
              <w:top w:val="single" w:sz="2" w:space="0" w:color="auto"/>
              <w:bottom w:val="single" w:sz="4" w:space="0" w:color="auto"/>
            </w:tcBorders>
            <w:shd w:val="clear" w:color="auto" w:fill="auto"/>
            <w:noWrap/>
            <w:vAlign w:val="center"/>
            <w:hideMark/>
          </w:tcPr>
          <w:p w:rsidR="001A6511" w:rsidRPr="004E2FAA" w:rsidRDefault="001A6511" w:rsidP="007647C1">
            <w:pPr>
              <w:pStyle w:val="cuatexto"/>
              <w:jc w:val="right"/>
            </w:pPr>
            <w:r w:rsidRPr="004E2FAA">
              <w:t>-0,01</w:t>
            </w:r>
          </w:p>
        </w:tc>
      </w:tr>
      <w:tr w:rsidR="001A6511" w:rsidRPr="007647C1" w:rsidTr="007647C1">
        <w:trPr>
          <w:trHeight w:val="284"/>
        </w:trPr>
        <w:tc>
          <w:tcPr>
            <w:tcW w:w="3686" w:type="dxa"/>
            <w:tcBorders>
              <w:top w:val="single" w:sz="4" w:space="0" w:color="auto"/>
              <w:bottom w:val="single" w:sz="4" w:space="0" w:color="auto"/>
            </w:tcBorders>
            <w:shd w:val="clear" w:color="auto" w:fill="A8CBEE" w:themeFill="accent2" w:themeFillTint="66"/>
            <w:noWrap/>
            <w:vAlign w:val="center"/>
            <w:hideMark/>
          </w:tcPr>
          <w:p w:rsidR="001A6511" w:rsidRPr="007647C1" w:rsidRDefault="001A6511" w:rsidP="001A6511">
            <w:pPr>
              <w:spacing w:after="0"/>
              <w:ind w:firstLine="0"/>
              <w:jc w:val="left"/>
              <w:rPr>
                <w:rFonts w:ascii="Arial" w:hAnsi="Arial" w:cs="Arial"/>
                <w:bCs/>
                <w:color w:val="000000"/>
                <w:sz w:val="18"/>
                <w:szCs w:val="18"/>
                <w:lang w:val="es-ES" w:eastAsia="es-ES"/>
              </w:rPr>
            </w:pPr>
            <w:r w:rsidRPr="007647C1">
              <w:rPr>
                <w:rFonts w:ascii="Arial" w:hAnsi="Arial" w:cs="Arial"/>
                <w:bCs/>
                <w:color w:val="000000"/>
                <w:sz w:val="18"/>
                <w:szCs w:val="18"/>
                <w:lang w:val="es-ES" w:eastAsia="es-ES"/>
              </w:rPr>
              <w:t>Total Prescripciones 2014</w:t>
            </w:r>
          </w:p>
        </w:tc>
        <w:tc>
          <w:tcPr>
            <w:tcW w:w="1276" w:type="dxa"/>
            <w:tcBorders>
              <w:top w:val="single" w:sz="4" w:space="0" w:color="auto"/>
              <w:bottom w:val="single" w:sz="4" w:space="0" w:color="auto"/>
            </w:tcBorders>
            <w:shd w:val="clear" w:color="auto" w:fill="A8CBEE" w:themeFill="accent2" w:themeFillTint="66"/>
            <w:noWrap/>
            <w:vAlign w:val="center"/>
            <w:hideMark/>
          </w:tcPr>
          <w:p w:rsidR="001A6511" w:rsidRPr="007647C1" w:rsidRDefault="001A6511" w:rsidP="007647C1">
            <w:pPr>
              <w:spacing w:after="0"/>
              <w:ind w:firstLine="0"/>
              <w:jc w:val="right"/>
              <w:rPr>
                <w:rFonts w:ascii="Arial" w:hAnsi="Arial" w:cs="Arial"/>
                <w:color w:val="000000"/>
                <w:sz w:val="18"/>
                <w:szCs w:val="18"/>
                <w:lang w:val="es-ES" w:eastAsia="es-ES"/>
              </w:rPr>
            </w:pPr>
            <w:r w:rsidRPr="007647C1">
              <w:rPr>
                <w:rFonts w:ascii="Arial" w:hAnsi="Arial" w:cs="Arial"/>
                <w:color w:val="000000"/>
                <w:sz w:val="18"/>
                <w:szCs w:val="18"/>
                <w:lang w:val="es-ES" w:eastAsia="es-ES"/>
              </w:rPr>
              <w:t>22.126.249</w:t>
            </w:r>
          </w:p>
        </w:tc>
        <w:tc>
          <w:tcPr>
            <w:tcW w:w="1417" w:type="dxa"/>
            <w:tcBorders>
              <w:top w:val="single" w:sz="4" w:space="0" w:color="auto"/>
              <w:bottom w:val="single" w:sz="4" w:space="0" w:color="auto"/>
            </w:tcBorders>
            <w:shd w:val="clear" w:color="auto" w:fill="A8CBEE" w:themeFill="accent2" w:themeFillTint="66"/>
            <w:noWrap/>
            <w:vAlign w:val="center"/>
            <w:hideMark/>
          </w:tcPr>
          <w:p w:rsidR="001A6511" w:rsidRPr="007647C1" w:rsidRDefault="001A6511" w:rsidP="007647C1">
            <w:pPr>
              <w:spacing w:after="0"/>
              <w:ind w:firstLine="0"/>
              <w:jc w:val="right"/>
              <w:rPr>
                <w:rFonts w:ascii="Arial" w:hAnsi="Arial" w:cs="Arial"/>
                <w:color w:val="000000"/>
                <w:sz w:val="18"/>
                <w:szCs w:val="18"/>
                <w:lang w:val="es-ES" w:eastAsia="es-ES"/>
              </w:rPr>
            </w:pPr>
            <w:r w:rsidRPr="007647C1">
              <w:rPr>
                <w:rFonts w:ascii="Arial" w:hAnsi="Arial" w:cs="Arial"/>
                <w:color w:val="000000"/>
                <w:sz w:val="18"/>
                <w:szCs w:val="18"/>
                <w:lang w:val="es-ES" w:eastAsia="es-ES"/>
              </w:rPr>
              <w:t>321</w:t>
            </w:r>
          </w:p>
        </w:tc>
        <w:tc>
          <w:tcPr>
            <w:tcW w:w="1418" w:type="dxa"/>
            <w:tcBorders>
              <w:top w:val="single" w:sz="4" w:space="0" w:color="auto"/>
              <w:bottom w:val="single" w:sz="4" w:space="0" w:color="auto"/>
            </w:tcBorders>
            <w:shd w:val="clear" w:color="auto" w:fill="A8CBEE" w:themeFill="accent2" w:themeFillTint="66"/>
            <w:noWrap/>
            <w:vAlign w:val="center"/>
            <w:hideMark/>
          </w:tcPr>
          <w:p w:rsidR="001A6511" w:rsidRPr="007647C1" w:rsidRDefault="001A6511" w:rsidP="007647C1">
            <w:pPr>
              <w:spacing w:after="0"/>
              <w:ind w:firstLine="0"/>
              <w:jc w:val="right"/>
              <w:rPr>
                <w:rFonts w:ascii="Arial" w:hAnsi="Arial" w:cs="Arial"/>
                <w:color w:val="000000"/>
                <w:sz w:val="18"/>
                <w:szCs w:val="18"/>
                <w:lang w:val="es-ES" w:eastAsia="es-ES"/>
              </w:rPr>
            </w:pPr>
            <w:r w:rsidRPr="007647C1">
              <w:rPr>
                <w:rFonts w:ascii="Arial" w:hAnsi="Arial" w:cs="Arial"/>
                <w:color w:val="000000"/>
                <w:sz w:val="18"/>
                <w:szCs w:val="18"/>
                <w:lang w:val="es-ES" w:eastAsia="es-ES"/>
              </w:rPr>
              <w:t> </w:t>
            </w:r>
          </w:p>
        </w:tc>
        <w:tc>
          <w:tcPr>
            <w:tcW w:w="1276" w:type="dxa"/>
            <w:tcBorders>
              <w:top w:val="single" w:sz="4" w:space="0" w:color="auto"/>
              <w:bottom w:val="single" w:sz="4" w:space="0" w:color="auto"/>
            </w:tcBorders>
            <w:shd w:val="clear" w:color="auto" w:fill="A8CBEE" w:themeFill="accent2" w:themeFillTint="66"/>
            <w:noWrap/>
            <w:vAlign w:val="center"/>
            <w:hideMark/>
          </w:tcPr>
          <w:p w:rsidR="001A6511" w:rsidRPr="007647C1" w:rsidRDefault="001A6511" w:rsidP="007647C1">
            <w:pPr>
              <w:spacing w:after="0"/>
              <w:ind w:firstLine="0"/>
              <w:jc w:val="right"/>
              <w:rPr>
                <w:rFonts w:ascii="Arial" w:hAnsi="Arial" w:cs="Arial"/>
                <w:color w:val="000000"/>
                <w:sz w:val="18"/>
                <w:szCs w:val="18"/>
                <w:lang w:val="es-ES" w:eastAsia="es-ES"/>
              </w:rPr>
            </w:pPr>
            <w:r w:rsidRPr="007647C1">
              <w:rPr>
                <w:rFonts w:ascii="Arial" w:hAnsi="Arial" w:cs="Arial"/>
                <w:color w:val="000000"/>
                <w:sz w:val="18"/>
                <w:szCs w:val="18"/>
                <w:lang w:val="es-ES" w:eastAsia="es-ES"/>
              </w:rPr>
              <w:t>100%</w:t>
            </w:r>
          </w:p>
        </w:tc>
      </w:tr>
    </w:tbl>
    <w:p w:rsidR="009713FB" w:rsidRPr="00A63248" w:rsidRDefault="009713FB" w:rsidP="000F04AF">
      <w:pPr>
        <w:pStyle w:val="texto"/>
        <w:tabs>
          <w:tab w:val="clear" w:pos="2835"/>
          <w:tab w:val="clear" w:pos="3969"/>
          <w:tab w:val="clear" w:pos="5103"/>
          <w:tab w:val="clear" w:pos="6237"/>
          <w:tab w:val="clear" w:pos="7371"/>
        </w:tabs>
        <w:spacing w:before="120"/>
        <w:rPr>
          <w:szCs w:val="26"/>
        </w:rPr>
      </w:pPr>
      <w:r w:rsidRPr="00A63248">
        <w:rPr>
          <w:szCs w:val="26"/>
        </w:rPr>
        <w:t xml:space="preserve">Estos 321 contribuyentes responden a 1.287 cuentas elementales del CAT. </w:t>
      </w:r>
    </w:p>
    <w:p w:rsidR="009713FB" w:rsidRPr="00A63248" w:rsidRDefault="009713FB" w:rsidP="009713FB">
      <w:pPr>
        <w:pStyle w:val="texto"/>
        <w:tabs>
          <w:tab w:val="clear" w:pos="2835"/>
          <w:tab w:val="clear" w:pos="3969"/>
          <w:tab w:val="clear" w:pos="5103"/>
          <w:tab w:val="clear" w:pos="6237"/>
          <w:tab w:val="clear" w:pos="7371"/>
        </w:tabs>
        <w:rPr>
          <w:spacing w:val="2"/>
          <w:szCs w:val="26"/>
        </w:rPr>
      </w:pPr>
      <w:r w:rsidRPr="00A63248">
        <w:rPr>
          <w:spacing w:val="2"/>
          <w:szCs w:val="26"/>
        </w:rPr>
        <w:t>Como se observa del cuadro anterior, el 89 por ciento de la deuda se concentra en 37 contribuyentes, con deudas superiores a 150.000 euros; si analizamos ese intervalo, observamos que nueve deudores asumen el 57 por ciento de las deudas prescritas en 2014.</w:t>
      </w:r>
    </w:p>
    <w:p w:rsidR="009713FB" w:rsidRPr="00A63248" w:rsidRDefault="009713FB" w:rsidP="009713FB">
      <w:pPr>
        <w:pStyle w:val="texto"/>
        <w:tabs>
          <w:tab w:val="clear" w:pos="2835"/>
          <w:tab w:val="clear" w:pos="3969"/>
          <w:tab w:val="clear" w:pos="5103"/>
          <w:tab w:val="clear" w:pos="6237"/>
          <w:tab w:val="clear" w:pos="7371"/>
        </w:tabs>
        <w:rPr>
          <w:szCs w:val="26"/>
        </w:rPr>
      </w:pPr>
      <w:r w:rsidRPr="00A63248">
        <w:rPr>
          <w:szCs w:val="26"/>
        </w:rPr>
        <w:lastRenderedPageBreak/>
        <w:t>Los mayores deudores responden a entidades en situación de concurso de acreedores</w:t>
      </w:r>
      <w:r w:rsidR="00E91DB5" w:rsidRPr="00A63248">
        <w:rPr>
          <w:szCs w:val="26"/>
        </w:rPr>
        <w:t xml:space="preserve"> que finalizan con la liquidación de la entidad</w:t>
      </w:r>
      <w:r w:rsidRPr="00A63248">
        <w:rPr>
          <w:szCs w:val="26"/>
        </w:rPr>
        <w:t xml:space="preserve"> y a empresas del se</w:t>
      </w:r>
      <w:r w:rsidRPr="00A63248">
        <w:rPr>
          <w:szCs w:val="26"/>
        </w:rPr>
        <w:t>c</w:t>
      </w:r>
      <w:r w:rsidRPr="00A63248">
        <w:rPr>
          <w:szCs w:val="26"/>
        </w:rPr>
        <w:t xml:space="preserve">tor de comercialización de vehículos de segunda mano. </w:t>
      </w:r>
    </w:p>
    <w:p w:rsidR="00AB09A5" w:rsidRPr="00A63248" w:rsidRDefault="009713FB" w:rsidP="000F04AF">
      <w:pPr>
        <w:pStyle w:val="texto"/>
        <w:tabs>
          <w:tab w:val="clear" w:pos="2835"/>
          <w:tab w:val="clear" w:pos="3969"/>
          <w:tab w:val="clear" w:pos="5103"/>
          <w:tab w:val="clear" w:pos="6237"/>
          <w:tab w:val="clear" w:pos="7371"/>
        </w:tabs>
        <w:spacing w:after="240"/>
        <w:rPr>
          <w:szCs w:val="26"/>
        </w:rPr>
      </w:pPr>
      <w:r w:rsidRPr="00A63248">
        <w:rPr>
          <w:szCs w:val="26"/>
        </w:rPr>
        <w:t>Por su naturaleza, esas deudas corresponden a:</w:t>
      </w:r>
    </w:p>
    <w:tbl>
      <w:tblPr>
        <w:tblW w:w="8824" w:type="dxa"/>
        <w:jc w:val="center"/>
        <w:tblCellMar>
          <w:left w:w="70" w:type="dxa"/>
          <w:right w:w="70" w:type="dxa"/>
        </w:tblCellMar>
        <w:tblLook w:val="04A0" w:firstRow="1" w:lastRow="0" w:firstColumn="1" w:lastColumn="0" w:noHBand="0" w:noVBand="1"/>
      </w:tblPr>
      <w:tblGrid>
        <w:gridCol w:w="5924"/>
        <w:gridCol w:w="1863"/>
        <w:gridCol w:w="1037"/>
      </w:tblGrid>
      <w:tr w:rsidR="009713FB" w:rsidRPr="000F04AF" w:rsidTr="000F04AF">
        <w:trPr>
          <w:trHeight w:val="284"/>
          <w:jc w:val="center"/>
        </w:trPr>
        <w:tc>
          <w:tcPr>
            <w:tcW w:w="5924" w:type="dxa"/>
            <w:tcBorders>
              <w:top w:val="single" w:sz="4" w:space="0" w:color="auto"/>
              <w:bottom w:val="single" w:sz="4" w:space="0" w:color="auto"/>
            </w:tcBorders>
            <w:shd w:val="clear" w:color="auto" w:fill="A8CBEE" w:themeFill="accent2" w:themeFillTint="66"/>
            <w:vAlign w:val="center"/>
            <w:hideMark/>
          </w:tcPr>
          <w:p w:rsidR="009713FB" w:rsidRPr="000F04AF" w:rsidRDefault="009713FB" w:rsidP="00D43C27">
            <w:pPr>
              <w:spacing w:after="0"/>
              <w:ind w:firstLine="0"/>
              <w:jc w:val="lef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Naturaleza</w:t>
            </w:r>
          </w:p>
        </w:tc>
        <w:tc>
          <w:tcPr>
            <w:tcW w:w="1863" w:type="dxa"/>
            <w:tcBorders>
              <w:top w:val="single" w:sz="4" w:space="0" w:color="auto"/>
              <w:bottom w:val="single" w:sz="4" w:space="0" w:color="auto"/>
            </w:tcBorders>
            <w:shd w:val="clear" w:color="auto" w:fill="A8CBEE" w:themeFill="accent2" w:themeFillTint="66"/>
            <w:noWrap/>
            <w:vAlign w:val="center"/>
            <w:hideMark/>
          </w:tcPr>
          <w:p w:rsidR="009713FB" w:rsidRPr="000F04AF" w:rsidRDefault="009713FB"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Importe</w:t>
            </w:r>
          </w:p>
        </w:tc>
        <w:tc>
          <w:tcPr>
            <w:tcW w:w="1037" w:type="dxa"/>
            <w:tcBorders>
              <w:top w:val="single" w:sz="4" w:space="0" w:color="auto"/>
              <w:bottom w:val="single" w:sz="4" w:space="0" w:color="auto"/>
            </w:tcBorders>
            <w:shd w:val="clear" w:color="auto" w:fill="A8CBEE" w:themeFill="accent2" w:themeFillTint="66"/>
            <w:noWrap/>
            <w:vAlign w:val="center"/>
            <w:hideMark/>
          </w:tcPr>
          <w:p w:rsidR="009713FB" w:rsidRPr="000F04AF" w:rsidRDefault="009713FB"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Porcentaje</w:t>
            </w:r>
          </w:p>
        </w:tc>
      </w:tr>
      <w:tr w:rsidR="009713FB" w:rsidRPr="00163D75" w:rsidTr="000F04AF">
        <w:trPr>
          <w:trHeight w:val="284"/>
          <w:jc w:val="center"/>
        </w:trPr>
        <w:tc>
          <w:tcPr>
            <w:tcW w:w="5924" w:type="dxa"/>
            <w:tcBorders>
              <w:top w:val="single" w:sz="4" w:space="0" w:color="auto"/>
              <w:bottom w:val="single" w:sz="2" w:space="0" w:color="auto"/>
            </w:tcBorders>
            <w:shd w:val="clear" w:color="auto" w:fill="auto"/>
            <w:vAlign w:val="center"/>
            <w:hideMark/>
          </w:tcPr>
          <w:p w:rsidR="009713FB" w:rsidRPr="004E2FAA" w:rsidRDefault="009713FB" w:rsidP="004E2FAA">
            <w:pPr>
              <w:pStyle w:val="cuatexto"/>
            </w:pPr>
            <w:r w:rsidRPr="004E2FAA">
              <w:t>Impuestos Periódicos</w:t>
            </w:r>
          </w:p>
        </w:tc>
        <w:tc>
          <w:tcPr>
            <w:tcW w:w="1863" w:type="dxa"/>
            <w:tcBorders>
              <w:top w:val="single" w:sz="4" w:space="0" w:color="auto"/>
              <w:bottom w:val="single" w:sz="2" w:space="0" w:color="auto"/>
            </w:tcBorders>
            <w:shd w:val="clear" w:color="auto" w:fill="auto"/>
            <w:noWrap/>
            <w:vAlign w:val="center"/>
            <w:hideMark/>
          </w:tcPr>
          <w:p w:rsidR="009713FB" w:rsidRPr="004E2FAA" w:rsidRDefault="009713FB" w:rsidP="000F04AF">
            <w:pPr>
              <w:pStyle w:val="cuatexto"/>
              <w:jc w:val="right"/>
            </w:pPr>
            <w:r w:rsidRPr="004E2FAA">
              <w:t>12.273.49</w:t>
            </w:r>
            <w:r w:rsidR="001A6511" w:rsidRPr="004E2FAA">
              <w:t>5</w:t>
            </w:r>
          </w:p>
        </w:tc>
        <w:tc>
          <w:tcPr>
            <w:tcW w:w="1037" w:type="dxa"/>
            <w:tcBorders>
              <w:top w:val="single" w:sz="4" w:space="0" w:color="auto"/>
              <w:bottom w:val="single" w:sz="2" w:space="0" w:color="auto"/>
            </w:tcBorders>
            <w:shd w:val="clear" w:color="auto" w:fill="auto"/>
            <w:noWrap/>
            <w:vAlign w:val="center"/>
            <w:hideMark/>
          </w:tcPr>
          <w:p w:rsidR="009713FB" w:rsidRPr="004E2FAA" w:rsidRDefault="009713FB" w:rsidP="000F04AF">
            <w:pPr>
              <w:pStyle w:val="cuatexto"/>
              <w:jc w:val="right"/>
            </w:pPr>
            <w:r w:rsidRPr="004E2FAA">
              <w:t>55</w:t>
            </w:r>
          </w:p>
        </w:tc>
      </w:tr>
      <w:tr w:rsidR="009713FB" w:rsidRPr="00163D75" w:rsidTr="000F04AF">
        <w:trPr>
          <w:trHeight w:val="284"/>
          <w:jc w:val="center"/>
        </w:trPr>
        <w:tc>
          <w:tcPr>
            <w:tcW w:w="5924" w:type="dxa"/>
            <w:tcBorders>
              <w:top w:val="single" w:sz="2" w:space="0" w:color="auto"/>
              <w:bottom w:val="single" w:sz="2" w:space="0" w:color="auto"/>
            </w:tcBorders>
            <w:shd w:val="clear" w:color="auto" w:fill="auto"/>
            <w:vAlign w:val="center"/>
            <w:hideMark/>
          </w:tcPr>
          <w:p w:rsidR="009713FB" w:rsidRPr="004E2FAA" w:rsidRDefault="009713FB" w:rsidP="004E2FAA">
            <w:pPr>
              <w:pStyle w:val="cuatexto"/>
            </w:pPr>
            <w:r w:rsidRPr="004E2FAA">
              <w:t>Impuestos No Periódicos</w:t>
            </w:r>
          </w:p>
        </w:tc>
        <w:tc>
          <w:tcPr>
            <w:tcW w:w="1863" w:type="dxa"/>
            <w:tcBorders>
              <w:top w:val="single" w:sz="2" w:space="0" w:color="auto"/>
              <w:bottom w:val="single" w:sz="2" w:space="0" w:color="auto"/>
            </w:tcBorders>
            <w:shd w:val="clear" w:color="auto" w:fill="auto"/>
            <w:noWrap/>
            <w:vAlign w:val="center"/>
            <w:hideMark/>
          </w:tcPr>
          <w:p w:rsidR="009713FB" w:rsidRPr="004E2FAA" w:rsidRDefault="009713FB" w:rsidP="000F04AF">
            <w:pPr>
              <w:pStyle w:val="cuatexto"/>
              <w:jc w:val="right"/>
            </w:pPr>
            <w:r w:rsidRPr="004E2FAA">
              <w:t>5.220.113</w:t>
            </w:r>
          </w:p>
        </w:tc>
        <w:tc>
          <w:tcPr>
            <w:tcW w:w="1037" w:type="dxa"/>
            <w:tcBorders>
              <w:top w:val="single" w:sz="2" w:space="0" w:color="auto"/>
              <w:bottom w:val="single" w:sz="2" w:space="0" w:color="auto"/>
            </w:tcBorders>
            <w:shd w:val="clear" w:color="auto" w:fill="auto"/>
            <w:noWrap/>
            <w:vAlign w:val="center"/>
            <w:hideMark/>
          </w:tcPr>
          <w:p w:rsidR="009713FB" w:rsidRPr="004E2FAA" w:rsidRDefault="009713FB" w:rsidP="000F04AF">
            <w:pPr>
              <w:pStyle w:val="cuatexto"/>
              <w:jc w:val="right"/>
            </w:pPr>
            <w:r w:rsidRPr="004E2FAA">
              <w:t>24</w:t>
            </w:r>
          </w:p>
        </w:tc>
      </w:tr>
      <w:tr w:rsidR="009713FB" w:rsidRPr="00163D75" w:rsidTr="000F04AF">
        <w:trPr>
          <w:trHeight w:val="284"/>
          <w:jc w:val="center"/>
        </w:trPr>
        <w:tc>
          <w:tcPr>
            <w:tcW w:w="5924" w:type="dxa"/>
            <w:tcBorders>
              <w:top w:val="single" w:sz="2" w:space="0" w:color="auto"/>
              <w:bottom w:val="single" w:sz="2" w:space="0" w:color="auto"/>
            </w:tcBorders>
            <w:shd w:val="clear" w:color="auto" w:fill="auto"/>
            <w:vAlign w:val="center"/>
            <w:hideMark/>
          </w:tcPr>
          <w:p w:rsidR="009713FB" w:rsidRPr="004E2FAA" w:rsidRDefault="009713FB" w:rsidP="004E2FAA">
            <w:pPr>
              <w:pStyle w:val="cuatexto"/>
            </w:pPr>
            <w:r w:rsidRPr="004E2FAA">
              <w:t>Deuda no fiscal</w:t>
            </w:r>
          </w:p>
        </w:tc>
        <w:tc>
          <w:tcPr>
            <w:tcW w:w="1863" w:type="dxa"/>
            <w:tcBorders>
              <w:top w:val="single" w:sz="2" w:space="0" w:color="auto"/>
              <w:bottom w:val="single" w:sz="2" w:space="0" w:color="auto"/>
            </w:tcBorders>
            <w:shd w:val="clear" w:color="auto" w:fill="auto"/>
            <w:noWrap/>
            <w:vAlign w:val="center"/>
            <w:hideMark/>
          </w:tcPr>
          <w:p w:rsidR="009713FB" w:rsidRPr="004E2FAA" w:rsidRDefault="009713FB" w:rsidP="000F04AF">
            <w:pPr>
              <w:pStyle w:val="cuatexto"/>
              <w:jc w:val="right"/>
            </w:pPr>
            <w:r w:rsidRPr="004E2FAA">
              <w:t>4.079.95</w:t>
            </w:r>
            <w:r w:rsidR="001A6511" w:rsidRPr="004E2FAA">
              <w:t>5</w:t>
            </w:r>
          </w:p>
        </w:tc>
        <w:tc>
          <w:tcPr>
            <w:tcW w:w="1037" w:type="dxa"/>
            <w:tcBorders>
              <w:top w:val="single" w:sz="2" w:space="0" w:color="auto"/>
              <w:bottom w:val="single" w:sz="2" w:space="0" w:color="auto"/>
            </w:tcBorders>
            <w:shd w:val="clear" w:color="auto" w:fill="auto"/>
            <w:noWrap/>
            <w:vAlign w:val="center"/>
            <w:hideMark/>
          </w:tcPr>
          <w:p w:rsidR="009713FB" w:rsidRPr="004E2FAA" w:rsidRDefault="009713FB" w:rsidP="000F04AF">
            <w:pPr>
              <w:pStyle w:val="cuatexto"/>
              <w:jc w:val="right"/>
            </w:pPr>
            <w:r w:rsidRPr="004E2FAA">
              <w:t>18</w:t>
            </w:r>
          </w:p>
        </w:tc>
      </w:tr>
      <w:tr w:rsidR="009713FB" w:rsidRPr="00163D75" w:rsidTr="000F04AF">
        <w:trPr>
          <w:trHeight w:val="284"/>
          <w:jc w:val="center"/>
        </w:trPr>
        <w:tc>
          <w:tcPr>
            <w:tcW w:w="5924" w:type="dxa"/>
            <w:tcBorders>
              <w:top w:val="single" w:sz="2" w:space="0" w:color="auto"/>
              <w:bottom w:val="single" w:sz="4" w:space="0" w:color="auto"/>
            </w:tcBorders>
            <w:shd w:val="clear" w:color="auto" w:fill="auto"/>
            <w:vAlign w:val="center"/>
            <w:hideMark/>
          </w:tcPr>
          <w:p w:rsidR="009713FB" w:rsidRPr="004E2FAA" w:rsidRDefault="009713FB" w:rsidP="004E2FAA">
            <w:pPr>
              <w:pStyle w:val="cuatexto"/>
            </w:pPr>
            <w:r w:rsidRPr="004E2FAA">
              <w:t>Expedientes de aplazamiento</w:t>
            </w:r>
          </w:p>
        </w:tc>
        <w:tc>
          <w:tcPr>
            <w:tcW w:w="1863" w:type="dxa"/>
            <w:tcBorders>
              <w:top w:val="single" w:sz="2" w:space="0" w:color="auto"/>
              <w:bottom w:val="single" w:sz="4" w:space="0" w:color="auto"/>
            </w:tcBorders>
            <w:shd w:val="clear" w:color="auto" w:fill="auto"/>
            <w:noWrap/>
            <w:vAlign w:val="center"/>
            <w:hideMark/>
          </w:tcPr>
          <w:p w:rsidR="009713FB" w:rsidRPr="004E2FAA" w:rsidRDefault="009713FB" w:rsidP="000F04AF">
            <w:pPr>
              <w:pStyle w:val="cuatexto"/>
              <w:jc w:val="right"/>
            </w:pPr>
            <w:r w:rsidRPr="004E2FAA">
              <w:t>552.68</w:t>
            </w:r>
            <w:r w:rsidR="001A6511" w:rsidRPr="004E2FAA">
              <w:t>6</w:t>
            </w:r>
          </w:p>
        </w:tc>
        <w:tc>
          <w:tcPr>
            <w:tcW w:w="1037" w:type="dxa"/>
            <w:tcBorders>
              <w:top w:val="single" w:sz="2" w:space="0" w:color="auto"/>
              <w:bottom w:val="single" w:sz="4" w:space="0" w:color="auto"/>
            </w:tcBorders>
            <w:shd w:val="clear" w:color="auto" w:fill="auto"/>
            <w:noWrap/>
            <w:vAlign w:val="center"/>
            <w:hideMark/>
          </w:tcPr>
          <w:p w:rsidR="009713FB" w:rsidRPr="004E2FAA" w:rsidRDefault="009713FB" w:rsidP="000F04AF">
            <w:pPr>
              <w:pStyle w:val="cuatexto"/>
              <w:jc w:val="right"/>
            </w:pPr>
            <w:r w:rsidRPr="004E2FAA">
              <w:t>2</w:t>
            </w:r>
          </w:p>
        </w:tc>
      </w:tr>
      <w:tr w:rsidR="009713FB" w:rsidRPr="000F04AF" w:rsidTr="000F04AF">
        <w:trPr>
          <w:trHeight w:val="284"/>
          <w:jc w:val="center"/>
        </w:trPr>
        <w:tc>
          <w:tcPr>
            <w:tcW w:w="5924" w:type="dxa"/>
            <w:tcBorders>
              <w:top w:val="single" w:sz="4" w:space="0" w:color="auto"/>
              <w:bottom w:val="single" w:sz="4" w:space="0" w:color="auto"/>
            </w:tcBorders>
            <w:shd w:val="clear" w:color="auto" w:fill="A8CBEE" w:themeFill="accent2" w:themeFillTint="66"/>
            <w:vAlign w:val="center"/>
            <w:hideMark/>
          </w:tcPr>
          <w:p w:rsidR="009713FB" w:rsidRPr="000F04AF" w:rsidRDefault="009713FB" w:rsidP="00D43C27">
            <w:pPr>
              <w:spacing w:after="0"/>
              <w:ind w:firstLine="0"/>
              <w:jc w:val="lef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Total prescripción 2014</w:t>
            </w:r>
          </w:p>
        </w:tc>
        <w:tc>
          <w:tcPr>
            <w:tcW w:w="1863" w:type="dxa"/>
            <w:tcBorders>
              <w:top w:val="single" w:sz="4" w:space="0" w:color="auto"/>
              <w:bottom w:val="single" w:sz="4" w:space="0" w:color="auto"/>
            </w:tcBorders>
            <w:shd w:val="clear" w:color="auto" w:fill="A8CBEE" w:themeFill="accent2" w:themeFillTint="66"/>
            <w:noWrap/>
            <w:vAlign w:val="center"/>
            <w:hideMark/>
          </w:tcPr>
          <w:p w:rsidR="009713FB" w:rsidRPr="000F04AF" w:rsidRDefault="009713FB"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22.126.2</w:t>
            </w:r>
            <w:r w:rsidR="001A6511" w:rsidRPr="000F04AF">
              <w:rPr>
                <w:rFonts w:ascii="Arial" w:hAnsi="Arial" w:cs="Arial"/>
                <w:bCs/>
                <w:color w:val="000000"/>
                <w:sz w:val="18"/>
                <w:szCs w:val="18"/>
                <w:lang w:val="es-ES" w:eastAsia="es-ES"/>
              </w:rPr>
              <w:t>49</w:t>
            </w:r>
          </w:p>
        </w:tc>
        <w:tc>
          <w:tcPr>
            <w:tcW w:w="1037" w:type="dxa"/>
            <w:tcBorders>
              <w:top w:val="single" w:sz="4" w:space="0" w:color="auto"/>
              <w:bottom w:val="single" w:sz="4" w:space="0" w:color="auto"/>
            </w:tcBorders>
            <w:shd w:val="clear" w:color="auto" w:fill="A8CBEE" w:themeFill="accent2" w:themeFillTint="66"/>
            <w:noWrap/>
            <w:vAlign w:val="center"/>
            <w:hideMark/>
          </w:tcPr>
          <w:p w:rsidR="009713FB" w:rsidRPr="000F04AF" w:rsidRDefault="009713FB"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100%</w:t>
            </w:r>
          </w:p>
        </w:tc>
      </w:tr>
    </w:tbl>
    <w:p w:rsidR="009713FB" w:rsidRPr="00A63248" w:rsidRDefault="009713FB" w:rsidP="000F04AF">
      <w:pPr>
        <w:pStyle w:val="texto"/>
        <w:tabs>
          <w:tab w:val="clear" w:pos="2835"/>
          <w:tab w:val="clear" w:pos="3969"/>
          <w:tab w:val="clear" w:pos="5103"/>
          <w:tab w:val="clear" w:pos="6237"/>
          <w:tab w:val="clear" w:pos="7371"/>
        </w:tabs>
        <w:spacing w:before="240"/>
        <w:rPr>
          <w:szCs w:val="26"/>
        </w:rPr>
      </w:pPr>
      <w:r w:rsidRPr="00A63248">
        <w:rPr>
          <w:szCs w:val="26"/>
        </w:rPr>
        <w:t>Del total, destaca el IVA que concentra el 40 por ciento de las deudas pre</w:t>
      </w:r>
      <w:r w:rsidRPr="00A63248">
        <w:rPr>
          <w:szCs w:val="26"/>
        </w:rPr>
        <w:t>s</w:t>
      </w:r>
      <w:r w:rsidRPr="00A63248">
        <w:rPr>
          <w:szCs w:val="26"/>
        </w:rPr>
        <w:t>critas.</w:t>
      </w:r>
    </w:p>
    <w:p w:rsidR="009713FB" w:rsidRPr="00A63248" w:rsidRDefault="00EA3404" w:rsidP="009713FB">
      <w:pPr>
        <w:pStyle w:val="texto"/>
        <w:tabs>
          <w:tab w:val="clear" w:pos="2835"/>
          <w:tab w:val="clear" w:pos="3969"/>
          <w:tab w:val="clear" w:pos="5103"/>
          <w:tab w:val="clear" w:pos="6237"/>
          <w:tab w:val="clear" w:pos="7371"/>
        </w:tabs>
        <w:rPr>
          <w:szCs w:val="26"/>
        </w:rPr>
      </w:pPr>
      <w:r w:rsidRPr="00A63248">
        <w:rPr>
          <w:szCs w:val="26"/>
        </w:rPr>
        <w:t xml:space="preserve">b) Prescripciones 2015. </w:t>
      </w:r>
      <w:r w:rsidR="009713FB" w:rsidRPr="00A63248">
        <w:rPr>
          <w:szCs w:val="26"/>
        </w:rPr>
        <w:t xml:space="preserve">En 2015 y mediante tres resoluciones del </w:t>
      </w:r>
      <w:r w:rsidR="007A2F8F">
        <w:rPr>
          <w:szCs w:val="26"/>
        </w:rPr>
        <w:t>d</w:t>
      </w:r>
      <w:r w:rsidR="009713FB" w:rsidRPr="00A63248">
        <w:rPr>
          <w:szCs w:val="26"/>
        </w:rPr>
        <w:t xml:space="preserve">irector </w:t>
      </w:r>
      <w:r w:rsidR="007A2F8F">
        <w:rPr>
          <w:szCs w:val="26"/>
        </w:rPr>
        <w:t>g</w:t>
      </w:r>
      <w:r w:rsidR="009713FB" w:rsidRPr="00A63248">
        <w:rPr>
          <w:szCs w:val="26"/>
        </w:rPr>
        <w:t>erente, prescriben un total de 50,11 millones de deuda, que corresponden a 8.149 contribuyentes y a 17.681 cuentas elementales del CAT.</w:t>
      </w:r>
    </w:p>
    <w:p w:rsidR="009713FB" w:rsidRPr="00A63248" w:rsidRDefault="009713FB" w:rsidP="009713FB">
      <w:pPr>
        <w:pStyle w:val="texto"/>
        <w:tabs>
          <w:tab w:val="clear" w:pos="2835"/>
          <w:tab w:val="clear" w:pos="3969"/>
          <w:tab w:val="clear" w:pos="5103"/>
          <w:tab w:val="clear" w:pos="6237"/>
          <w:tab w:val="clear" w:pos="7371"/>
        </w:tabs>
        <w:rPr>
          <w:szCs w:val="26"/>
        </w:rPr>
      </w:pPr>
      <w:r w:rsidRPr="00A63248">
        <w:rPr>
          <w:szCs w:val="26"/>
        </w:rPr>
        <w:t>Sobre la prescripción de 2014, la de 2015 se han incrementado tanto en el importe de la deuda –un 126 por ciento, esto es, 28 millones más</w:t>
      </w:r>
      <w:r w:rsidR="000F04AF" w:rsidRPr="00A63248">
        <w:rPr>
          <w:szCs w:val="26"/>
        </w:rPr>
        <w:t>–</w:t>
      </w:r>
      <w:r w:rsidRPr="00A63248">
        <w:rPr>
          <w:szCs w:val="26"/>
        </w:rPr>
        <w:t xml:space="preserve"> como en el número total de contribuyentes </w:t>
      </w:r>
      <w:r w:rsidR="000F04AF" w:rsidRPr="00A63248">
        <w:rPr>
          <w:szCs w:val="26"/>
        </w:rPr>
        <w:t>–</w:t>
      </w:r>
      <w:r w:rsidRPr="00A63248">
        <w:rPr>
          <w:szCs w:val="26"/>
        </w:rPr>
        <w:t>8.149 frente a 321 en 2014</w:t>
      </w:r>
      <w:r w:rsidR="000F04AF" w:rsidRPr="00A63248">
        <w:rPr>
          <w:szCs w:val="26"/>
        </w:rPr>
        <w:t>–</w:t>
      </w:r>
      <w:r w:rsidRPr="00A63248">
        <w:rPr>
          <w:szCs w:val="26"/>
        </w:rPr>
        <w:t>.</w:t>
      </w:r>
    </w:p>
    <w:p w:rsidR="00151194" w:rsidRPr="00A63248" w:rsidRDefault="009713FB" w:rsidP="001C7C66">
      <w:pPr>
        <w:pStyle w:val="texto"/>
        <w:tabs>
          <w:tab w:val="clear" w:pos="2835"/>
          <w:tab w:val="clear" w:pos="3969"/>
          <w:tab w:val="clear" w:pos="5103"/>
          <w:tab w:val="clear" w:pos="6237"/>
          <w:tab w:val="clear" w:pos="7371"/>
        </w:tabs>
        <w:spacing w:after="240"/>
        <w:rPr>
          <w:szCs w:val="26"/>
        </w:rPr>
      </w:pPr>
      <w:r w:rsidRPr="00A63248">
        <w:rPr>
          <w:szCs w:val="26"/>
        </w:rPr>
        <w:t>Atendiendo al volumen de deuda por contribuyente, en el cuadro siguiente mostramos tales prescripciones</w:t>
      </w:r>
      <w:r w:rsidR="000F04AF" w:rsidRPr="00A63248">
        <w:rPr>
          <w:szCs w:val="26"/>
        </w:rPr>
        <w:t xml:space="preserve"> en euros.</w:t>
      </w:r>
    </w:p>
    <w:tbl>
      <w:tblPr>
        <w:tblW w:w="8824" w:type="dxa"/>
        <w:tblInd w:w="70" w:type="dxa"/>
        <w:tblCellMar>
          <w:left w:w="70" w:type="dxa"/>
          <w:right w:w="70" w:type="dxa"/>
        </w:tblCellMar>
        <w:tblLook w:val="04A0" w:firstRow="1" w:lastRow="0" w:firstColumn="1" w:lastColumn="0" w:noHBand="0" w:noVBand="1"/>
      </w:tblPr>
      <w:tblGrid>
        <w:gridCol w:w="3828"/>
        <w:gridCol w:w="1134"/>
        <w:gridCol w:w="1311"/>
        <w:gridCol w:w="1417"/>
        <w:gridCol w:w="1134"/>
      </w:tblGrid>
      <w:tr w:rsidR="00251342" w:rsidRPr="000F04AF" w:rsidTr="001A4A78">
        <w:trPr>
          <w:trHeight w:val="284"/>
        </w:trPr>
        <w:tc>
          <w:tcPr>
            <w:tcW w:w="3828" w:type="dxa"/>
            <w:tcBorders>
              <w:top w:val="single" w:sz="4" w:space="0" w:color="auto"/>
              <w:bottom w:val="single" w:sz="4" w:space="0" w:color="auto"/>
            </w:tcBorders>
            <w:shd w:val="clear" w:color="auto" w:fill="A8CBEE" w:themeFill="accent2" w:themeFillTint="66"/>
            <w:noWrap/>
            <w:vAlign w:val="center"/>
            <w:hideMark/>
          </w:tcPr>
          <w:p w:rsidR="00251342" w:rsidRPr="000F04AF" w:rsidRDefault="00251342" w:rsidP="000D7CB3">
            <w:pPr>
              <w:spacing w:after="0"/>
              <w:ind w:firstLine="0"/>
              <w:jc w:val="lef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Intervalo de deudores-Prescripciones 2015</w:t>
            </w:r>
          </w:p>
        </w:tc>
        <w:tc>
          <w:tcPr>
            <w:tcW w:w="1134" w:type="dxa"/>
            <w:tcBorders>
              <w:top w:val="single" w:sz="4" w:space="0" w:color="auto"/>
              <w:bottom w:val="single" w:sz="4" w:space="0" w:color="auto"/>
            </w:tcBorders>
            <w:shd w:val="clear" w:color="auto" w:fill="A8CBEE" w:themeFill="accent2" w:themeFillTint="66"/>
            <w:noWrap/>
            <w:vAlign w:val="center"/>
            <w:hideMark/>
          </w:tcPr>
          <w:p w:rsidR="00251342" w:rsidRPr="000F04AF" w:rsidRDefault="00251342"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Importe</w:t>
            </w:r>
          </w:p>
        </w:tc>
        <w:tc>
          <w:tcPr>
            <w:tcW w:w="1311" w:type="dxa"/>
            <w:tcBorders>
              <w:top w:val="single" w:sz="4" w:space="0" w:color="auto"/>
              <w:bottom w:val="single" w:sz="4" w:space="0" w:color="auto"/>
            </w:tcBorders>
            <w:shd w:val="clear" w:color="auto" w:fill="A8CBEE" w:themeFill="accent2" w:themeFillTint="66"/>
            <w:vAlign w:val="center"/>
            <w:hideMark/>
          </w:tcPr>
          <w:p w:rsidR="00251342" w:rsidRPr="000F04AF" w:rsidRDefault="00251342"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 xml:space="preserve">Numero </w:t>
            </w:r>
          </w:p>
          <w:p w:rsidR="00251342" w:rsidRPr="000F04AF" w:rsidRDefault="00251342"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contribuyentes</w:t>
            </w:r>
          </w:p>
        </w:tc>
        <w:tc>
          <w:tcPr>
            <w:tcW w:w="1417" w:type="dxa"/>
            <w:tcBorders>
              <w:top w:val="single" w:sz="4" w:space="0" w:color="auto"/>
              <w:bottom w:val="single" w:sz="4" w:space="0" w:color="auto"/>
            </w:tcBorders>
            <w:shd w:val="clear" w:color="auto" w:fill="A8CBEE" w:themeFill="accent2" w:themeFillTint="66"/>
            <w:vAlign w:val="center"/>
            <w:hideMark/>
          </w:tcPr>
          <w:p w:rsidR="00251342" w:rsidRPr="000F04AF" w:rsidRDefault="00251342"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 xml:space="preserve">Importe </w:t>
            </w:r>
          </w:p>
          <w:p w:rsidR="00251342" w:rsidRPr="000F04AF" w:rsidRDefault="00251342"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acumulado</w:t>
            </w:r>
          </w:p>
        </w:tc>
        <w:tc>
          <w:tcPr>
            <w:tcW w:w="1134" w:type="dxa"/>
            <w:tcBorders>
              <w:top w:val="single" w:sz="4" w:space="0" w:color="auto"/>
              <w:bottom w:val="single" w:sz="4" w:space="0" w:color="auto"/>
            </w:tcBorders>
            <w:shd w:val="clear" w:color="auto" w:fill="A8CBEE" w:themeFill="accent2" w:themeFillTint="66"/>
            <w:vAlign w:val="center"/>
            <w:hideMark/>
          </w:tcPr>
          <w:p w:rsidR="00251342" w:rsidRPr="000F04AF" w:rsidRDefault="00251342"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 intervalo s/total</w:t>
            </w:r>
          </w:p>
        </w:tc>
      </w:tr>
      <w:tr w:rsidR="00151194" w:rsidRPr="000D7CB3" w:rsidTr="001A4A78">
        <w:trPr>
          <w:trHeight w:val="284"/>
        </w:trPr>
        <w:tc>
          <w:tcPr>
            <w:tcW w:w="3828" w:type="dxa"/>
            <w:tcBorders>
              <w:top w:val="single" w:sz="4" w:space="0" w:color="auto"/>
              <w:bottom w:val="single" w:sz="2" w:space="0" w:color="auto"/>
            </w:tcBorders>
            <w:shd w:val="clear" w:color="auto" w:fill="auto"/>
            <w:noWrap/>
            <w:vAlign w:val="center"/>
          </w:tcPr>
          <w:p w:rsidR="00151194" w:rsidRPr="004E2FAA" w:rsidRDefault="00151194" w:rsidP="003A7C47">
            <w:pPr>
              <w:pStyle w:val="cuatexto"/>
            </w:pPr>
            <w:r>
              <w:t>Más de 150.000</w:t>
            </w:r>
            <w:r w:rsidRPr="004E2FAA">
              <w:t xml:space="preserve"> ( deudores gran cuantía)</w:t>
            </w:r>
          </w:p>
        </w:tc>
        <w:tc>
          <w:tcPr>
            <w:tcW w:w="1134" w:type="dxa"/>
            <w:tcBorders>
              <w:top w:val="single" w:sz="4"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7.428.775</w:t>
            </w:r>
          </w:p>
        </w:tc>
        <w:tc>
          <w:tcPr>
            <w:tcW w:w="1311" w:type="dxa"/>
            <w:tcBorders>
              <w:top w:val="single" w:sz="4"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14</w:t>
            </w:r>
          </w:p>
        </w:tc>
        <w:tc>
          <w:tcPr>
            <w:tcW w:w="1417" w:type="dxa"/>
            <w:tcBorders>
              <w:top w:val="single" w:sz="4"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7.428.775</w:t>
            </w:r>
          </w:p>
        </w:tc>
        <w:tc>
          <w:tcPr>
            <w:tcW w:w="1134" w:type="dxa"/>
            <w:tcBorders>
              <w:top w:val="single" w:sz="4"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14,82</w:t>
            </w:r>
          </w:p>
        </w:tc>
      </w:tr>
      <w:tr w:rsidR="00151194" w:rsidRPr="000D7CB3" w:rsidTr="001A4A78">
        <w:trPr>
          <w:trHeight w:val="284"/>
        </w:trPr>
        <w:tc>
          <w:tcPr>
            <w:tcW w:w="3828" w:type="dxa"/>
            <w:tcBorders>
              <w:top w:val="single" w:sz="2" w:space="0" w:color="auto"/>
              <w:bottom w:val="single" w:sz="2" w:space="0" w:color="auto"/>
            </w:tcBorders>
            <w:shd w:val="clear" w:color="auto" w:fill="auto"/>
            <w:noWrap/>
            <w:vAlign w:val="center"/>
          </w:tcPr>
          <w:p w:rsidR="00151194" w:rsidRPr="004E2FAA" w:rsidRDefault="00151194" w:rsidP="003A7C47">
            <w:pPr>
              <w:pStyle w:val="cuatexto"/>
            </w:pPr>
            <w:r>
              <w:t xml:space="preserve">Entre </w:t>
            </w:r>
            <w:r w:rsidRPr="004E2FAA">
              <w:t>50.00</w:t>
            </w:r>
            <w:r>
              <w:t>1</w:t>
            </w:r>
            <w:r w:rsidRPr="004E2FAA">
              <w:t xml:space="preserve"> y </w:t>
            </w:r>
            <w:r>
              <w:t>1</w:t>
            </w:r>
            <w:r w:rsidRPr="004E2FAA">
              <w:t xml:space="preserve">50.000 </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14.025.093</w:t>
            </w:r>
          </w:p>
        </w:tc>
        <w:tc>
          <w:tcPr>
            <w:tcW w:w="1311"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178</w:t>
            </w:r>
          </w:p>
        </w:tc>
        <w:tc>
          <w:tcPr>
            <w:tcW w:w="1417"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21.453.868</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27,99</w:t>
            </w:r>
          </w:p>
        </w:tc>
      </w:tr>
      <w:tr w:rsidR="00151194" w:rsidRPr="000D7CB3" w:rsidTr="001A4A78">
        <w:trPr>
          <w:trHeight w:val="284"/>
        </w:trPr>
        <w:tc>
          <w:tcPr>
            <w:tcW w:w="3828" w:type="dxa"/>
            <w:tcBorders>
              <w:top w:val="single" w:sz="2" w:space="0" w:color="auto"/>
              <w:bottom w:val="single" w:sz="2" w:space="0" w:color="auto"/>
            </w:tcBorders>
            <w:shd w:val="clear" w:color="auto" w:fill="auto"/>
            <w:noWrap/>
            <w:vAlign w:val="center"/>
          </w:tcPr>
          <w:p w:rsidR="00151194" w:rsidRPr="004E2FAA" w:rsidRDefault="00151194" w:rsidP="003A7C47">
            <w:pPr>
              <w:pStyle w:val="cuatexto"/>
            </w:pPr>
            <w:r w:rsidRPr="004E2FAA">
              <w:t xml:space="preserve">Entre </w:t>
            </w:r>
            <w:r>
              <w:t xml:space="preserve">25.001 y </w:t>
            </w:r>
            <w:r w:rsidRPr="004E2FAA">
              <w:t>50.000</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10.036.507</w:t>
            </w:r>
          </w:p>
        </w:tc>
        <w:tc>
          <w:tcPr>
            <w:tcW w:w="1311"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286</w:t>
            </w:r>
          </w:p>
        </w:tc>
        <w:tc>
          <w:tcPr>
            <w:tcW w:w="1417"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31.490.375</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20,03</w:t>
            </w:r>
          </w:p>
        </w:tc>
      </w:tr>
      <w:tr w:rsidR="00151194" w:rsidRPr="000D7CB3" w:rsidTr="001A4A78">
        <w:trPr>
          <w:trHeight w:val="284"/>
        </w:trPr>
        <w:tc>
          <w:tcPr>
            <w:tcW w:w="3828" w:type="dxa"/>
            <w:tcBorders>
              <w:top w:val="single" w:sz="2" w:space="0" w:color="auto"/>
              <w:bottom w:val="single" w:sz="2" w:space="0" w:color="auto"/>
            </w:tcBorders>
            <w:shd w:val="clear" w:color="auto" w:fill="auto"/>
            <w:noWrap/>
            <w:vAlign w:val="center"/>
          </w:tcPr>
          <w:p w:rsidR="00151194" w:rsidRPr="004E2FAA" w:rsidRDefault="00151194" w:rsidP="003A7C47">
            <w:pPr>
              <w:pStyle w:val="cuatexto"/>
            </w:pPr>
            <w:r>
              <w:t xml:space="preserve">Entre </w:t>
            </w:r>
            <w:r w:rsidRPr="004E2FAA">
              <w:t>5.00</w:t>
            </w:r>
            <w:r>
              <w:t>1 y 25.000</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12.335.385</w:t>
            </w:r>
          </w:p>
        </w:tc>
        <w:tc>
          <w:tcPr>
            <w:tcW w:w="1311"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1.099</w:t>
            </w:r>
          </w:p>
        </w:tc>
        <w:tc>
          <w:tcPr>
            <w:tcW w:w="1417"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43.825.760</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24,62</w:t>
            </w:r>
          </w:p>
        </w:tc>
      </w:tr>
      <w:tr w:rsidR="00151194" w:rsidRPr="000D7CB3" w:rsidTr="001A4A78">
        <w:trPr>
          <w:trHeight w:val="284"/>
        </w:trPr>
        <w:tc>
          <w:tcPr>
            <w:tcW w:w="3828" w:type="dxa"/>
            <w:tcBorders>
              <w:top w:val="single" w:sz="2" w:space="0" w:color="auto"/>
              <w:bottom w:val="single" w:sz="2" w:space="0" w:color="auto"/>
            </w:tcBorders>
            <w:shd w:val="clear" w:color="auto" w:fill="auto"/>
            <w:noWrap/>
            <w:vAlign w:val="center"/>
          </w:tcPr>
          <w:p w:rsidR="00151194" w:rsidRPr="004E2FAA" w:rsidRDefault="00151194" w:rsidP="003A7C47">
            <w:pPr>
              <w:pStyle w:val="cuatexto"/>
            </w:pPr>
            <w:r w:rsidRPr="004E2FAA">
              <w:t xml:space="preserve">Entre </w:t>
            </w:r>
            <w:r>
              <w:t xml:space="preserve">1.001 y </w:t>
            </w:r>
            <w:r w:rsidRPr="004E2FAA">
              <w:t>5.00</w:t>
            </w:r>
            <w:r>
              <w:t>0</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4.738.373</w:t>
            </w:r>
          </w:p>
        </w:tc>
        <w:tc>
          <w:tcPr>
            <w:tcW w:w="1311"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2.019</w:t>
            </w:r>
          </w:p>
        </w:tc>
        <w:tc>
          <w:tcPr>
            <w:tcW w:w="1417"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48.564.133</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9,46</w:t>
            </w:r>
          </w:p>
        </w:tc>
      </w:tr>
      <w:tr w:rsidR="00151194" w:rsidRPr="000D7CB3" w:rsidTr="001A4A78">
        <w:trPr>
          <w:trHeight w:val="284"/>
        </w:trPr>
        <w:tc>
          <w:tcPr>
            <w:tcW w:w="3828" w:type="dxa"/>
            <w:tcBorders>
              <w:top w:val="single" w:sz="2" w:space="0" w:color="auto"/>
              <w:bottom w:val="single" w:sz="2" w:space="0" w:color="auto"/>
            </w:tcBorders>
            <w:shd w:val="clear" w:color="auto" w:fill="auto"/>
            <w:noWrap/>
            <w:vAlign w:val="center"/>
          </w:tcPr>
          <w:p w:rsidR="00151194" w:rsidRPr="004E2FAA" w:rsidRDefault="00151194" w:rsidP="003A7C47">
            <w:pPr>
              <w:pStyle w:val="cuatexto"/>
            </w:pPr>
            <w:r>
              <w:t xml:space="preserve">Entre </w:t>
            </w:r>
            <w:r w:rsidRPr="004E2FAA">
              <w:t>50</w:t>
            </w:r>
            <w:r>
              <w:t>1 y 1.00</w:t>
            </w:r>
            <w:r w:rsidRPr="004E2FAA">
              <w:t>0</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814.883</w:t>
            </w:r>
          </w:p>
        </w:tc>
        <w:tc>
          <w:tcPr>
            <w:tcW w:w="1311"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1.132</w:t>
            </w:r>
          </w:p>
        </w:tc>
        <w:tc>
          <w:tcPr>
            <w:tcW w:w="1417"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49.379.016</w:t>
            </w:r>
          </w:p>
        </w:tc>
        <w:tc>
          <w:tcPr>
            <w:tcW w:w="1134" w:type="dxa"/>
            <w:tcBorders>
              <w:top w:val="single" w:sz="2" w:space="0" w:color="auto"/>
              <w:bottom w:val="single" w:sz="2" w:space="0" w:color="auto"/>
            </w:tcBorders>
            <w:shd w:val="clear" w:color="auto" w:fill="auto"/>
            <w:noWrap/>
            <w:vAlign w:val="center"/>
            <w:hideMark/>
          </w:tcPr>
          <w:p w:rsidR="00151194" w:rsidRPr="004E2FAA" w:rsidRDefault="00151194" w:rsidP="000F04AF">
            <w:pPr>
              <w:pStyle w:val="cuatexto"/>
              <w:jc w:val="right"/>
            </w:pPr>
            <w:r w:rsidRPr="004E2FAA">
              <w:t>1,63</w:t>
            </w:r>
          </w:p>
        </w:tc>
      </w:tr>
      <w:tr w:rsidR="00151194" w:rsidRPr="000D7CB3" w:rsidTr="001A4A78">
        <w:trPr>
          <w:trHeight w:val="284"/>
        </w:trPr>
        <w:tc>
          <w:tcPr>
            <w:tcW w:w="3828" w:type="dxa"/>
            <w:tcBorders>
              <w:top w:val="single" w:sz="2" w:space="0" w:color="auto"/>
              <w:bottom w:val="single" w:sz="4" w:space="0" w:color="auto"/>
            </w:tcBorders>
            <w:shd w:val="clear" w:color="auto" w:fill="auto"/>
            <w:noWrap/>
            <w:vAlign w:val="center"/>
          </w:tcPr>
          <w:p w:rsidR="00151194" w:rsidRPr="004E2FAA" w:rsidRDefault="00151194" w:rsidP="003A7C47">
            <w:pPr>
              <w:pStyle w:val="cuatexto"/>
            </w:pPr>
            <w:r w:rsidRPr="004E2FAA">
              <w:t>Menos de 500</w:t>
            </w:r>
          </w:p>
        </w:tc>
        <w:tc>
          <w:tcPr>
            <w:tcW w:w="1134" w:type="dxa"/>
            <w:tcBorders>
              <w:top w:val="single" w:sz="2" w:space="0" w:color="auto"/>
              <w:bottom w:val="single" w:sz="4" w:space="0" w:color="auto"/>
            </w:tcBorders>
            <w:shd w:val="clear" w:color="auto" w:fill="auto"/>
            <w:noWrap/>
            <w:vAlign w:val="center"/>
            <w:hideMark/>
          </w:tcPr>
          <w:p w:rsidR="00151194" w:rsidRPr="004E2FAA" w:rsidRDefault="00151194" w:rsidP="000F04AF">
            <w:pPr>
              <w:pStyle w:val="cuatexto"/>
              <w:jc w:val="right"/>
            </w:pPr>
            <w:r w:rsidRPr="004E2FAA">
              <w:t>732.920</w:t>
            </w:r>
          </w:p>
        </w:tc>
        <w:tc>
          <w:tcPr>
            <w:tcW w:w="1311" w:type="dxa"/>
            <w:tcBorders>
              <w:top w:val="single" w:sz="2" w:space="0" w:color="auto"/>
              <w:bottom w:val="single" w:sz="4" w:space="0" w:color="auto"/>
            </w:tcBorders>
            <w:shd w:val="clear" w:color="auto" w:fill="auto"/>
            <w:noWrap/>
            <w:vAlign w:val="center"/>
            <w:hideMark/>
          </w:tcPr>
          <w:p w:rsidR="00151194" w:rsidRPr="004E2FAA" w:rsidRDefault="00151194" w:rsidP="000F04AF">
            <w:pPr>
              <w:pStyle w:val="cuatexto"/>
              <w:jc w:val="right"/>
            </w:pPr>
            <w:r w:rsidRPr="004E2FAA">
              <w:t>3.421</w:t>
            </w:r>
          </w:p>
        </w:tc>
        <w:tc>
          <w:tcPr>
            <w:tcW w:w="1417" w:type="dxa"/>
            <w:tcBorders>
              <w:top w:val="single" w:sz="2" w:space="0" w:color="auto"/>
              <w:bottom w:val="single" w:sz="4" w:space="0" w:color="auto"/>
            </w:tcBorders>
            <w:shd w:val="clear" w:color="auto" w:fill="auto"/>
            <w:noWrap/>
            <w:vAlign w:val="center"/>
            <w:hideMark/>
          </w:tcPr>
          <w:p w:rsidR="00151194" w:rsidRPr="004E2FAA" w:rsidRDefault="00151194" w:rsidP="000F04AF">
            <w:pPr>
              <w:pStyle w:val="cuatexto"/>
              <w:jc w:val="right"/>
            </w:pPr>
            <w:r w:rsidRPr="004E2FAA">
              <w:t>50.111.93</w:t>
            </w:r>
            <w:r>
              <w:t>5</w:t>
            </w:r>
          </w:p>
        </w:tc>
        <w:tc>
          <w:tcPr>
            <w:tcW w:w="1134" w:type="dxa"/>
            <w:tcBorders>
              <w:top w:val="single" w:sz="2" w:space="0" w:color="auto"/>
              <w:bottom w:val="single" w:sz="4" w:space="0" w:color="auto"/>
            </w:tcBorders>
            <w:shd w:val="clear" w:color="auto" w:fill="auto"/>
            <w:noWrap/>
            <w:vAlign w:val="center"/>
            <w:hideMark/>
          </w:tcPr>
          <w:p w:rsidR="00151194" w:rsidRPr="004E2FAA" w:rsidRDefault="00151194" w:rsidP="000F04AF">
            <w:pPr>
              <w:pStyle w:val="cuatexto"/>
              <w:jc w:val="right"/>
            </w:pPr>
            <w:r w:rsidRPr="004E2FAA">
              <w:t>1,46</w:t>
            </w:r>
          </w:p>
        </w:tc>
      </w:tr>
      <w:tr w:rsidR="00151194" w:rsidRPr="000F04AF" w:rsidTr="001A4A78">
        <w:trPr>
          <w:trHeight w:val="284"/>
        </w:trPr>
        <w:tc>
          <w:tcPr>
            <w:tcW w:w="3828" w:type="dxa"/>
            <w:tcBorders>
              <w:top w:val="single" w:sz="4" w:space="0" w:color="auto"/>
              <w:bottom w:val="single" w:sz="4" w:space="0" w:color="auto"/>
            </w:tcBorders>
            <w:shd w:val="clear" w:color="auto" w:fill="A8CBEE" w:themeFill="accent2" w:themeFillTint="66"/>
            <w:noWrap/>
            <w:vAlign w:val="center"/>
            <w:hideMark/>
          </w:tcPr>
          <w:p w:rsidR="00151194" w:rsidRPr="000F04AF" w:rsidRDefault="00151194" w:rsidP="000D7CB3">
            <w:pPr>
              <w:spacing w:after="0"/>
              <w:ind w:firstLine="0"/>
              <w:jc w:val="lef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Total Prescripciones 2015</w:t>
            </w:r>
          </w:p>
        </w:tc>
        <w:tc>
          <w:tcPr>
            <w:tcW w:w="1134" w:type="dxa"/>
            <w:tcBorders>
              <w:top w:val="single" w:sz="4" w:space="0" w:color="auto"/>
              <w:bottom w:val="single" w:sz="4" w:space="0" w:color="auto"/>
            </w:tcBorders>
            <w:shd w:val="clear" w:color="auto" w:fill="A8CBEE" w:themeFill="accent2" w:themeFillTint="66"/>
            <w:noWrap/>
            <w:vAlign w:val="center"/>
            <w:hideMark/>
          </w:tcPr>
          <w:p w:rsidR="00151194" w:rsidRPr="000F04AF" w:rsidRDefault="00151194"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50.111.935</w:t>
            </w:r>
          </w:p>
        </w:tc>
        <w:tc>
          <w:tcPr>
            <w:tcW w:w="1311" w:type="dxa"/>
            <w:tcBorders>
              <w:top w:val="single" w:sz="4" w:space="0" w:color="auto"/>
              <w:bottom w:val="single" w:sz="4" w:space="0" w:color="auto"/>
            </w:tcBorders>
            <w:shd w:val="clear" w:color="auto" w:fill="A8CBEE" w:themeFill="accent2" w:themeFillTint="66"/>
            <w:noWrap/>
            <w:vAlign w:val="center"/>
            <w:hideMark/>
          </w:tcPr>
          <w:p w:rsidR="00151194" w:rsidRPr="000F04AF" w:rsidRDefault="00151194"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8.149</w:t>
            </w:r>
          </w:p>
        </w:tc>
        <w:tc>
          <w:tcPr>
            <w:tcW w:w="1417" w:type="dxa"/>
            <w:tcBorders>
              <w:top w:val="single" w:sz="4" w:space="0" w:color="auto"/>
              <w:bottom w:val="single" w:sz="4" w:space="0" w:color="auto"/>
            </w:tcBorders>
            <w:shd w:val="clear" w:color="auto" w:fill="A8CBEE" w:themeFill="accent2" w:themeFillTint="66"/>
            <w:noWrap/>
            <w:vAlign w:val="center"/>
            <w:hideMark/>
          </w:tcPr>
          <w:p w:rsidR="00151194" w:rsidRPr="000F04AF" w:rsidRDefault="00151194"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 </w:t>
            </w:r>
          </w:p>
        </w:tc>
        <w:tc>
          <w:tcPr>
            <w:tcW w:w="1134" w:type="dxa"/>
            <w:tcBorders>
              <w:top w:val="single" w:sz="4" w:space="0" w:color="auto"/>
              <w:bottom w:val="single" w:sz="4" w:space="0" w:color="auto"/>
            </w:tcBorders>
            <w:shd w:val="clear" w:color="auto" w:fill="A8CBEE" w:themeFill="accent2" w:themeFillTint="66"/>
            <w:noWrap/>
            <w:vAlign w:val="center"/>
            <w:hideMark/>
          </w:tcPr>
          <w:p w:rsidR="00151194" w:rsidRPr="000F04AF" w:rsidRDefault="00151194" w:rsidP="000F04AF">
            <w:pPr>
              <w:spacing w:after="0"/>
              <w:ind w:firstLine="0"/>
              <w:jc w:val="right"/>
              <w:rPr>
                <w:rFonts w:ascii="Arial" w:hAnsi="Arial" w:cs="Arial"/>
                <w:bCs/>
                <w:color w:val="000000"/>
                <w:sz w:val="18"/>
                <w:szCs w:val="18"/>
                <w:lang w:val="es-ES" w:eastAsia="es-ES"/>
              </w:rPr>
            </w:pPr>
            <w:r w:rsidRPr="000F04AF">
              <w:rPr>
                <w:rFonts w:ascii="Arial" w:hAnsi="Arial" w:cs="Arial"/>
                <w:bCs/>
                <w:color w:val="000000"/>
                <w:sz w:val="18"/>
                <w:szCs w:val="18"/>
                <w:lang w:val="es-ES" w:eastAsia="es-ES"/>
              </w:rPr>
              <w:t>100</w:t>
            </w:r>
          </w:p>
        </w:tc>
      </w:tr>
    </w:tbl>
    <w:p w:rsidR="009713FB" w:rsidRPr="00A63248" w:rsidRDefault="009713FB" w:rsidP="000F04AF">
      <w:pPr>
        <w:pStyle w:val="texto"/>
        <w:tabs>
          <w:tab w:val="clear" w:pos="2835"/>
          <w:tab w:val="clear" w:pos="3969"/>
          <w:tab w:val="clear" w:pos="5103"/>
          <w:tab w:val="clear" w:pos="6237"/>
          <w:tab w:val="clear" w:pos="7371"/>
        </w:tabs>
        <w:spacing w:before="240"/>
        <w:rPr>
          <w:szCs w:val="26"/>
        </w:rPr>
      </w:pPr>
      <w:r w:rsidRPr="00A63248">
        <w:rPr>
          <w:szCs w:val="26"/>
        </w:rPr>
        <w:t>A diferencia de la prescripción de 2014 y de años anteriores, en este ejerc</w:t>
      </w:r>
      <w:r w:rsidRPr="00A63248">
        <w:rPr>
          <w:szCs w:val="26"/>
        </w:rPr>
        <w:t>i</w:t>
      </w:r>
      <w:r w:rsidRPr="00A63248">
        <w:rPr>
          <w:szCs w:val="26"/>
        </w:rPr>
        <w:t>cio de 2015, ha primado, entre otros</w:t>
      </w:r>
      <w:r w:rsidR="00CD412C">
        <w:rPr>
          <w:szCs w:val="26"/>
        </w:rPr>
        <w:t xml:space="preserve"> factores</w:t>
      </w:r>
      <w:r w:rsidRPr="00A63248">
        <w:rPr>
          <w:szCs w:val="26"/>
        </w:rPr>
        <w:t xml:space="preserve">, la extinción de deudas antiguas de menor importe. Así, sobre el número de contribuyentes, el 81 por ciento de los mismos presentaban deudas inferiores a 5.000 euros; también destaca que el 42 por ciento tenían deudas inferiores a 500 euros. </w:t>
      </w:r>
    </w:p>
    <w:p w:rsidR="009713FB" w:rsidRPr="00A63248" w:rsidRDefault="00BB0B0C" w:rsidP="00BB0B0C">
      <w:pPr>
        <w:pStyle w:val="texto"/>
        <w:tabs>
          <w:tab w:val="clear" w:pos="2835"/>
          <w:tab w:val="clear" w:pos="3969"/>
          <w:tab w:val="clear" w:pos="5103"/>
          <w:tab w:val="clear" w:pos="6237"/>
          <w:tab w:val="clear" w:pos="7371"/>
        </w:tabs>
        <w:rPr>
          <w:szCs w:val="26"/>
        </w:rPr>
      </w:pPr>
      <w:r w:rsidRPr="00A63248">
        <w:rPr>
          <w:szCs w:val="26"/>
        </w:rPr>
        <w:t>En 2015, toda la deuda prescrita estaba en recaudación ejecutiva.</w:t>
      </w:r>
    </w:p>
    <w:p w:rsidR="001A4A78" w:rsidRDefault="001A4A78">
      <w:pPr>
        <w:spacing w:after="0"/>
        <w:ind w:firstLine="0"/>
        <w:jc w:val="left"/>
        <w:rPr>
          <w:spacing w:val="6"/>
          <w:sz w:val="26"/>
          <w:szCs w:val="26"/>
        </w:rPr>
      </w:pPr>
      <w:r>
        <w:rPr>
          <w:szCs w:val="26"/>
        </w:rPr>
        <w:br w:type="page"/>
      </w:r>
    </w:p>
    <w:p w:rsidR="00EA3404" w:rsidRPr="001A4A78" w:rsidRDefault="00E7262D" w:rsidP="00A63248">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rPr>
          <w:spacing w:val="2"/>
          <w:szCs w:val="26"/>
        </w:rPr>
      </w:pPr>
      <w:r w:rsidRPr="001A4A78">
        <w:rPr>
          <w:spacing w:val="2"/>
          <w:szCs w:val="26"/>
        </w:rPr>
        <w:lastRenderedPageBreak/>
        <w:t>En el cuadro siguiente c</w:t>
      </w:r>
      <w:r w:rsidR="00EA3404" w:rsidRPr="001A4A78">
        <w:rPr>
          <w:spacing w:val="2"/>
          <w:szCs w:val="26"/>
        </w:rPr>
        <w:t>ompa</w:t>
      </w:r>
      <w:r w:rsidRPr="001A4A78">
        <w:rPr>
          <w:spacing w:val="2"/>
          <w:szCs w:val="26"/>
        </w:rPr>
        <w:t>ramos</w:t>
      </w:r>
      <w:r w:rsidR="00EA3404" w:rsidRPr="001A4A78">
        <w:rPr>
          <w:spacing w:val="2"/>
          <w:szCs w:val="26"/>
        </w:rPr>
        <w:t xml:space="preserve"> </w:t>
      </w:r>
      <w:r w:rsidR="009274C1" w:rsidRPr="001A4A78">
        <w:rPr>
          <w:spacing w:val="2"/>
          <w:szCs w:val="26"/>
        </w:rPr>
        <w:t>las prescripciones por ejercicio</w:t>
      </w:r>
      <w:r w:rsidR="002A7EB4" w:rsidRPr="001A4A78">
        <w:rPr>
          <w:spacing w:val="2"/>
          <w:szCs w:val="26"/>
        </w:rPr>
        <w:t xml:space="preserve"> de apr</w:t>
      </w:r>
      <w:r w:rsidR="002A7EB4" w:rsidRPr="001A4A78">
        <w:rPr>
          <w:spacing w:val="2"/>
          <w:szCs w:val="26"/>
        </w:rPr>
        <w:t>o</w:t>
      </w:r>
      <w:r w:rsidR="002A7EB4" w:rsidRPr="001A4A78">
        <w:rPr>
          <w:spacing w:val="2"/>
          <w:szCs w:val="26"/>
        </w:rPr>
        <w:t>bación</w:t>
      </w:r>
      <w:r w:rsidR="009274C1" w:rsidRPr="001A4A78">
        <w:rPr>
          <w:spacing w:val="2"/>
          <w:szCs w:val="26"/>
        </w:rPr>
        <w:t xml:space="preserve"> con los</w:t>
      </w:r>
      <w:r w:rsidR="00EA3404" w:rsidRPr="001A4A78">
        <w:rPr>
          <w:spacing w:val="2"/>
          <w:szCs w:val="26"/>
        </w:rPr>
        <w:t xml:space="preserve"> ingresos tributarios </w:t>
      </w:r>
      <w:r w:rsidR="00076D92" w:rsidRPr="001A4A78">
        <w:rPr>
          <w:spacing w:val="2"/>
          <w:szCs w:val="26"/>
        </w:rPr>
        <w:t>reconocidos</w:t>
      </w:r>
      <w:r w:rsidR="009274C1" w:rsidRPr="001A4A78">
        <w:rPr>
          <w:spacing w:val="2"/>
          <w:szCs w:val="26"/>
        </w:rPr>
        <w:t xml:space="preserve"> y con la recaudación líquida</w:t>
      </w:r>
      <w:r w:rsidR="00076D92" w:rsidRPr="001A4A78">
        <w:rPr>
          <w:spacing w:val="2"/>
          <w:szCs w:val="26"/>
        </w:rPr>
        <w:t xml:space="preserve"> </w:t>
      </w:r>
      <w:r w:rsidR="00EA3404" w:rsidRPr="001A4A78">
        <w:rPr>
          <w:spacing w:val="2"/>
          <w:szCs w:val="26"/>
        </w:rPr>
        <w:t>del año de la prescripción. Los resultados obtenidos se indican en el siguiente cuadro:</w:t>
      </w:r>
    </w:p>
    <w:tbl>
      <w:tblPr>
        <w:tblW w:w="8692"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684"/>
        <w:gridCol w:w="2504"/>
        <w:gridCol w:w="2504"/>
      </w:tblGrid>
      <w:tr w:rsidR="00E76573" w:rsidRPr="00495A33" w:rsidTr="001A4A78">
        <w:trPr>
          <w:trHeight w:val="255"/>
          <w:jc w:val="center"/>
        </w:trPr>
        <w:tc>
          <w:tcPr>
            <w:tcW w:w="3684" w:type="dxa"/>
            <w:vMerge w:val="restart"/>
            <w:tcBorders>
              <w:top w:val="single" w:sz="4" w:space="0" w:color="auto"/>
              <w:bottom w:val="single" w:sz="4" w:space="0" w:color="auto"/>
            </w:tcBorders>
            <w:shd w:val="clear" w:color="auto" w:fill="A8CBEE" w:themeFill="accent2" w:themeFillTint="66"/>
            <w:noWrap/>
            <w:vAlign w:val="center"/>
            <w:hideMark/>
          </w:tcPr>
          <w:p w:rsidR="00E76573" w:rsidRPr="00495A33" w:rsidRDefault="00E76573" w:rsidP="00D43C27">
            <w:pPr>
              <w:pStyle w:val="cuadroCabe"/>
              <w:rPr>
                <w:lang w:val="es-ES" w:eastAsia="es-ES"/>
              </w:rPr>
            </w:pPr>
            <w:r>
              <w:rPr>
                <w:lang w:val="es-ES" w:eastAsia="es-ES"/>
              </w:rPr>
              <w:t>Ejercicio</w:t>
            </w:r>
          </w:p>
        </w:tc>
        <w:tc>
          <w:tcPr>
            <w:tcW w:w="5008" w:type="dxa"/>
            <w:gridSpan w:val="2"/>
            <w:tcBorders>
              <w:top w:val="single" w:sz="4" w:space="0" w:color="auto"/>
              <w:bottom w:val="single" w:sz="4" w:space="0" w:color="auto"/>
            </w:tcBorders>
            <w:shd w:val="clear" w:color="auto" w:fill="A8CBEE" w:themeFill="accent2" w:themeFillTint="66"/>
            <w:noWrap/>
            <w:vAlign w:val="center"/>
            <w:hideMark/>
          </w:tcPr>
          <w:p w:rsidR="00E76573" w:rsidRDefault="00E76573" w:rsidP="00D43C27">
            <w:pPr>
              <w:pStyle w:val="cuadroCabe"/>
              <w:jc w:val="center"/>
              <w:rPr>
                <w:lang w:val="es-ES" w:eastAsia="es-ES"/>
              </w:rPr>
            </w:pPr>
            <w:r>
              <w:rPr>
                <w:lang w:val="es-ES" w:eastAsia="es-ES"/>
              </w:rPr>
              <w:t>Porcentaje prescripciones sobre</w:t>
            </w:r>
          </w:p>
        </w:tc>
      </w:tr>
      <w:tr w:rsidR="00E76573" w:rsidRPr="00495A33" w:rsidTr="001A4A78">
        <w:trPr>
          <w:trHeight w:val="255"/>
          <w:jc w:val="center"/>
        </w:trPr>
        <w:tc>
          <w:tcPr>
            <w:tcW w:w="3684" w:type="dxa"/>
            <w:vMerge/>
            <w:tcBorders>
              <w:top w:val="single" w:sz="4" w:space="0" w:color="auto"/>
            </w:tcBorders>
            <w:shd w:val="clear" w:color="auto" w:fill="A8CBEE" w:themeFill="accent2" w:themeFillTint="66"/>
            <w:noWrap/>
            <w:vAlign w:val="center"/>
          </w:tcPr>
          <w:p w:rsidR="00E76573" w:rsidRDefault="00E76573" w:rsidP="00D43C27">
            <w:pPr>
              <w:pStyle w:val="cuadroCabe"/>
              <w:rPr>
                <w:lang w:val="es-ES" w:eastAsia="es-ES"/>
              </w:rPr>
            </w:pPr>
          </w:p>
        </w:tc>
        <w:tc>
          <w:tcPr>
            <w:tcW w:w="2504" w:type="dxa"/>
            <w:tcBorders>
              <w:top w:val="single" w:sz="4" w:space="0" w:color="auto"/>
            </w:tcBorders>
            <w:shd w:val="clear" w:color="auto" w:fill="A8CBEE" w:themeFill="accent2" w:themeFillTint="66"/>
            <w:noWrap/>
            <w:vAlign w:val="center"/>
          </w:tcPr>
          <w:p w:rsidR="00E76573" w:rsidRPr="00495A33" w:rsidRDefault="00E76573" w:rsidP="001A4A78">
            <w:pPr>
              <w:pStyle w:val="cuadroCabe"/>
              <w:jc w:val="right"/>
              <w:rPr>
                <w:lang w:val="es-ES" w:eastAsia="es-ES"/>
              </w:rPr>
            </w:pPr>
            <w:r>
              <w:rPr>
                <w:lang w:val="es-ES" w:eastAsia="es-ES"/>
              </w:rPr>
              <w:t>DR ingresos tributarios</w:t>
            </w:r>
          </w:p>
        </w:tc>
        <w:tc>
          <w:tcPr>
            <w:tcW w:w="2504" w:type="dxa"/>
            <w:tcBorders>
              <w:top w:val="single" w:sz="4" w:space="0" w:color="auto"/>
            </w:tcBorders>
            <w:shd w:val="clear" w:color="auto" w:fill="A8CBEE" w:themeFill="accent2" w:themeFillTint="66"/>
            <w:vAlign w:val="center"/>
          </w:tcPr>
          <w:p w:rsidR="00E76573" w:rsidRDefault="00E76573" w:rsidP="001A4A78">
            <w:pPr>
              <w:pStyle w:val="cuadroCabe"/>
              <w:jc w:val="right"/>
              <w:rPr>
                <w:lang w:val="es-ES" w:eastAsia="es-ES"/>
              </w:rPr>
            </w:pPr>
            <w:r>
              <w:rPr>
                <w:lang w:val="es-ES" w:eastAsia="es-ES"/>
              </w:rPr>
              <w:t>RL ingresos tributarios</w:t>
            </w:r>
          </w:p>
        </w:tc>
      </w:tr>
      <w:tr w:rsidR="00E76573" w:rsidRPr="00495A33" w:rsidTr="001A4A78">
        <w:trPr>
          <w:trHeight w:val="255"/>
          <w:jc w:val="center"/>
        </w:trPr>
        <w:tc>
          <w:tcPr>
            <w:tcW w:w="3684" w:type="dxa"/>
            <w:shd w:val="clear" w:color="auto" w:fill="auto"/>
            <w:noWrap/>
            <w:vAlign w:val="center"/>
            <w:hideMark/>
          </w:tcPr>
          <w:p w:rsidR="00E76573" w:rsidRPr="004E2FAA" w:rsidRDefault="00E76573" w:rsidP="004E2FAA">
            <w:pPr>
              <w:pStyle w:val="cuatexto"/>
              <w:jc w:val="left"/>
            </w:pPr>
            <w:r w:rsidRPr="004E2FAA">
              <w:t>2008</w:t>
            </w:r>
          </w:p>
        </w:tc>
        <w:tc>
          <w:tcPr>
            <w:tcW w:w="2504" w:type="dxa"/>
            <w:shd w:val="clear" w:color="auto" w:fill="auto"/>
            <w:noWrap/>
            <w:vAlign w:val="center"/>
          </w:tcPr>
          <w:p w:rsidR="00E76573" w:rsidRPr="004E2FAA" w:rsidRDefault="00E76573" w:rsidP="004E2FAA">
            <w:pPr>
              <w:pStyle w:val="cuatexto"/>
              <w:jc w:val="right"/>
            </w:pPr>
            <w:r w:rsidRPr="004E2FAA">
              <w:t>0,23</w:t>
            </w:r>
          </w:p>
        </w:tc>
        <w:tc>
          <w:tcPr>
            <w:tcW w:w="2504" w:type="dxa"/>
            <w:vAlign w:val="center"/>
          </w:tcPr>
          <w:p w:rsidR="00E76573" w:rsidRPr="004E2FAA" w:rsidRDefault="00E76573" w:rsidP="00CD412C">
            <w:pPr>
              <w:pStyle w:val="cuatexto"/>
              <w:jc w:val="right"/>
            </w:pPr>
            <w:r w:rsidRPr="004E2FAA">
              <w:t>0,2</w:t>
            </w:r>
            <w:r w:rsidR="00CD412C">
              <w:t>5</w:t>
            </w:r>
          </w:p>
        </w:tc>
      </w:tr>
      <w:tr w:rsidR="00E76573" w:rsidRPr="00495A33" w:rsidTr="001A4A78">
        <w:trPr>
          <w:trHeight w:val="255"/>
          <w:jc w:val="center"/>
        </w:trPr>
        <w:tc>
          <w:tcPr>
            <w:tcW w:w="3684" w:type="dxa"/>
            <w:shd w:val="clear" w:color="auto" w:fill="auto"/>
            <w:noWrap/>
            <w:vAlign w:val="center"/>
            <w:hideMark/>
          </w:tcPr>
          <w:p w:rsidR="00E76573" w:rsidRPr="004E2FAA" w:rsidRDefault="00E76573" w:rsidP="004E2FAA">
            <w:pPr>
              <w:pStyle w:val="cuatexto"/>
              <w:jc w:val="left"/>
            </w:pPr>
            <w:r w:rsidRPr="004E2FAA">
              <w:t>2009</w:t>
            </w:r>
          </w:p>
        </w:tc>
        <w:tc>
          <w:tcPr>
            <w:tcW w:w="2504" w:type="dxa"/>
            <w:shd w:val="clear" w:color="auto" w:fill="auto"/>
            <w:noWrap/>
            <w:vAlign w:val="center"/>
          </w:tcPr>
          <w:p w:rsidR="00E76573" w:rsidRPr="004E2FAA" w:rsidRDefault="00E76573" w:rsidP="004E2FAA">
            <w:pPr>
              <w:pStyle w:val="cuatexto"/>
              <w:jc w:val="right"/>
            </w:pPr>
            <w:r w:rsidRPr="004E2FAA">
              <w:t>0,26</w:t>
            </w:r>
          </w:p>
        </w:tc>
        <w:tc>
          <w:tcPr>
            <w:tcW w:w="2504" w:type="dxa"/>
            <w:vAlign w:val="center"/>
          </w:tcPr>
          <w:p w:rsidR="00E76573" w:rsidRPr="004E2FAA" w:rsidRDefault="00CD412C" w:rsidP="004E2FAA">
            <w:pPr>
              <w:pStyle w:val="cuatexto"/>
              <w:jc w:val="right"/>
            </w:pPr>
            <w:r>
              <w:t>0,32</w:t>
            </w:r>
          </w:p>
        </w:tc>
      </w:tr>
      <w:tr w:rsidR="00E76573" w:rsidRPr="00495A33" w:rsidTr="001A4A78">
        <w:trPr>
          <w:trHeight w:val="255"/>
          <w:jc w:val="center"/>
        </w:trPr>
        <w:tc>
          <w:tcPr>
            <w:tcW w:w="3684" w:type="dxa"/>
            <w:shd w:val="clear" w:color="auto" w:fill="auto"/>
            <w:noWrap/>
            <w:vAlign w:val="center"/>
            <w:hideMark/>
          </w:tcPr>
          <w:p w:rsidR="00E76573" w:rsidRPr="004E2FAA" w:rsidRDefault="00E76573" w:rsidP="004E2FAA">
            <w:pPr>
              <w:pStyle w:val="cuatexto"/>
              <w:jc w:val="left"/>
            </w:pPr>
            <w:r w:rsidRPr="004E2FAA">
              <w:t>2010</w:t>
            </w:r>
          </w:p>
        </w:tc>
        <w:tc>
          <w:tcPr>
            <w:tcW w:w="2504" w:type="dxa"/>
            <w:shd w:val="clear" w:color="auto" w:fill="auto"/>
            <w:noWrap/>
            <w:vAlign w:val="center"/>
          </w:tcPr>
          <w:p w:rsidR="00E76573" w:rsidRPr="004E2FAA" w:rsidRDefault="00E76573" w:rsidP="004E2FAA">
            <w:pPr>
              <w:pStyle w:val="cuatexto"/>
              <w:jc w:val="right"/>
            </w:pPr>
            <w:r w:rsidRPr="004E2FAA">
              <w:t>0,24</w:t>
            </w:r>
          </w:p>
        </w:tc>
        <w:tc>
          <w:tcPr>
            <w:tcW w:w="2504" w:type="dxa"/>
            <w:vAlign w:val="center"/>
          </w:tcPr>
          <w:p w:rsidR="00E76573" w:rsidRPr="004E2FAA" w:rsidRDefault="00E76573" w:rsidP="004E2FAA">
            <w:pPr>
              <w:pStyle w:val="cuatexto"/>
              <w:jc w:val="right"/>
            </w:pPr>
            <w:r w:rsidRPr="004E2FAA">
              <w:t>0,30</w:t>
            </w:r>
          </w:p>
        </w:tc>
      </w:tr>
      <w:tr w:rsidR="00E76573" w:rsidRPr="00495A33" w:rsidTr="001A4A78">
        <w:trPr>
          <w:trHeight w:val="255"/>
          <w:jc w:val="center"/>
        </w:trPr>
        <w:tc>
          <w:tcPr>
            <w:tcW w:w="3684" w:type="dxa"/>
            <w:shd w:val="clear" w:color="auto" w:fill="auto"/>
            <w:noWrap/>
            <w:vAlign w:val="center"/>
            <w:hideMark/>
          </w:tcPr>
          <w:p w:rsidR="00E76573" w:rsidRPr="004E2FAA" w:rsidRDefault="00E76573" w:rsidP="004E2FAA">
            <w:pPr>
              <w:pStyle w:val="cuatexto"/>
              <w:jc w:val="left"/>
            </w:pPr>
            <w:r w:rsidRPr="004E2FAA">
              <w:t>2011</w:t>
            </w:r>
          </w:p>
        </w:tc>
        <w:tc>
          <w:tcPr>
            <w:tcW w:w="2504" w:type="dxa"/>
            <w:shd w:val="clear" w:color="auto" w:fill="auto"/>
            <w:noWrap/>
            <w:vAlign w:val="center"/>
          </w:tcPr>
          <w:p w:rsidR="00E76573" w:rsidRPr="004E2FAA" w:rsidRDefault="00E76573" w:rsidP="004E2FAA">
            <w:pPr>
              <w:pStyle w:val="cuatexto"/>
              <w:jc w:val="right"/>
            </w:pPr>
            <w:r w:rsidRPr="004E2FAA">
              <w:t>0,23</w:t>
            </w:r>
          </w:p>
        </w:tc>
        <w:tc>
          <w:tcPr>
            <w:tcW w:w="2504" w:type="dxa"/>
            <w:vAlign w:val="center"/>
          </w:tcPr>
          <w:p w:rsidR="00E76573" w:rsidRPr="004E2FAA" w:rsidRDefault="00E76573" w:rsidP="004E2FAA">
            <w:pPr>
              <w:pStyle w:val="cuatexto"/>
              <w:jc w:val="right"/>
            </w:pPr>
            <w:r w:rsidRPr="004E2FAA">
              <w:t>0,25</w:t>
            </w:r>
          </w:p>
        </w:tc>
      </w:tr>
      <w:tr w:rsidR="00E76573" w:rsidRPr="00495A33" w:rsidTr="001A4A78">
        <w:trPr>
          <w:trHeight w:val="255"/>
          <w:jc w:val="center"/>
        </w:trPr>
        <w:tc>
          <w:tcPr>
            <w:tcW w:w="3684" w:type="dxa"/>
            <w:shd w:val="clear" w:color="auto" w:fill="auto"/>
            <w:noWrap/>
            <w:vAlign w:val="center"/>
            <w:hideMark/>
          </w:tcPr>
          <w:p w:rsidR="00E76573" w:rsidRPr="004E2FAA" w:rsidRDefault="00E76573" w:rsidP="004E2FAA">
            <w:pPr>
              <w:pStyle w:val="cuatexto"/>
              <w:jc w:val="left"/>
            </w:pPr>
            <w:r w:rsidRPr="004E2FAA">
              <w:t>2012</w:t>
            </w:r>
          </w:p>
        </w:tc>
        <w:tc>
          <w:tcPr>
            <w:tcW w:w="2504" w:type="dxa"/>
            <w:shd w:val="clear" w:color="auto" w:fill="auto"/>
            <w:noWrap/>
            <w:vAlign w:val="center"/>
          </w:tcPr>
          <w:p w:rsidR="00E76573" w:rsidRPr="004E2FAA" w:rsidRDefault="00E76573" w:rsidP="004E2FAA">
            <w:pPr>
              <w:pStyle w:val="cuatexto"/>
              <w:jc w:val="right"/>
            </w:pPr>
            <w:r w:rsidRPr="004E2FAA">
              <w:t>0,36</w:t>
            </w:r>
          </w:p>
        </w:tc>
        <w:tc>
          <w:tcPr>
            <w:tcW w:w="2504" w:type="dxa"/>
            <w:vAlign w:val="center"/>
          </w:tcPr>
          <w:p w:rsidR="00E76573" w:rsidRPr="004E2FAA" w:rsidRDefault="00E76573" w:rsidP="004E2FAA">
            <w:pPr>
              <w:pStyle w:val="cuatexto"/>
              <w:jc w:val="right"/>
            </w:pPr>
            <w:r w:rsidRPr="004E2FAA">
              <w:t>0,37</w:t>
            </w:r>
          </w:p>
        </w:tc>
      </w:tr>
      <w:tr w:rsidR="00E76573" w:rsidRPr="00495A33" w:rsidTr="001A4A78">
        <w:trPr>
          <w:trHeight w:val="255"/>
          <w:jc w:val="center"/>
        </w:trPr>
        <w:tc>
          <w:tcPr>
            <w:tcW w:w="3684" w:type="dxa"/>
            <w:shd w:val="clear" w:color="auto" w:fill="auto"/>
            <w:noWrap/>
            <w:vAlign w:val="center"/>
            <w:hideMark/>
          </w:tcPr>
          <w:p w:rsidR="00E76573" w:rsidRPr="004E2FAA" w:rsidRDefault="00E76573" w:rsidP="004E2FAA">
            <w:pPr>
              <w:pStyle w:val="cuatexto"/>
              <w:jc w:val="left"/>
            </w:pPr>
            <w:r w:rsidRPr="004E2FAA">
              <w:t>2013</w:t>
            </w:r>
          </w:p>
        </w:tc>
        <w:tc>
          <w:tcPr>
            <w:tcW w:w="2504" w:type="dxa"/>
            <w:shd w:val="clear" w:color="auto" w:fill="auto"/>
            <w:noWrap/>
            <w:vAlign w:val="center"/>
          </w:tcPr>
          <w:p w:rsidR="00E76573" w:rsidRPr="004E2FAA" w:rsidRDefault="00E76573" w:rsidP="004E2FAA">
            <w:pPr>
              <w:pStyle w:val="cuatexto"/>
              <w:jc w:val="right"/>
            </w:pPr>
            <w:r w:rsidRPr="004E2FAA">
              <w:t>0,36</w:t>
            </w:r>
          </w:p>
        </w:tc>
        <w:tc>
          <w:tcPr>
            <w:tcW w:w="2504" w:type="dxa"/>
            <w:vAlign w:val="center"/>
          </w:tcPr>
          <w:p w:rsidR="00E76573" w:rsidRPr="004E2FAA" w:rsidRDefault="00E76573" w:rsidP="004E2FAA">
            <w:pPr>
              <w:pStyle w:val="cuatexto"/>
              <w:jc w:val="right"/>
            </w:pPr>
            <w:r w:rsidRPr="004E2FAA">
              <w:t>0,38</w:t>
            </w:r>
          </w:p>
        </w:tc>
      </w:tr>
      <w:tr w:rsidR="00E76573" w:rsidRPr="00495A33" w:rsidTr="001A4A78">
        <w:trPr>
          <w:trHeight w:val="255"/>
          <w:jc w:val="center"/>
        </w:trPr>
        <w:tc>
          <w:tcPr>
            <w:tcW w:w="3684" w:type="dxa"/>
            <w:tcBorders>
              <w:bottom w:val="single" w:sz="2" w:space="0" w:color="auto"/>
            </w:tcBorders>
            <w:shd w:val="clear" w:color="auto" w:fill="auto"/>
            <w:noWrap/>
            <w:vAlign w:val="center"/>
            <w:hideMark/>
          </w:tcPr>
          <w:p w:rsidR="00E76573" w:rsidRPr="004E2FAA" w:rsidRDefault="00E76573" w:rsidP="004E2FAA">
            <w:pPr>
              <w:pStyle w:val="cuatexto"/>
              <w:jc w:val="left"/>
            </w:pPr>
            <w:r w:rsidRPr="004E2FAA">
              <w:t>2014</w:t>
            </w:r>
          </w:p>
        </w:tc>
        <w:tc>
          <w:tcPr>
            <w:tcW w:w="2504" w:type="dxa"/>
            <w:tcBorders>
              <w:bottom w:val="single" w:sz="2" w:space="0" w:color="auto"/>
            </w:tcBorders>
            <w:shd w:val="clear" w:color="auto" w:fill="auto"/>
            <w:noWrap/>
            <w:vAlign w:val="center"/>
          </w:tcPr>
          <w:p w:rsidR="00E76573" w:rsidRPr="004E2FAA" w:rsidRDefault="00E76573" w:rsidP="004E2FAA">
            <w:pPr>
              <w:pStyle w:val="cuatexto"/>
              <w:jc w:val="right"/>
            </w:pPr>
            <w:r w:rsidRPr="004E2FAA">
              <w:t>0,68</w:t>
            </w:r>
          </w:p>
        </w:tc>
        <w:tc>
          <w:tcPr>
            <w:tcW w:w="2504" w:type="dxa"/>
            <w:tcBorders>
              <w:bottom w:val="single" w:sz="2" w:space="0" w:color="auto"/>
            </w:tcBorders>
            <w:vAlign w:val="center"/>
          </w:tcPr>
          <w:p w:rsidR="00E76573" w:rsidRPr="004E2FAA" w:rsidRDefault="00E76573" w:rsidP="004E2FAA">
            <w:pPr>
              <w:pStyle w:val="cuatexto"/>
              <w:jc w:val="right"/>
            </w:pPr>
            <w:r w:rsidRPr="004E2FAA">
              <w:t>0,71</w:t>
            </w:r>
          </w:p>
        </w:tc>
      </w:tr>
      <w:tr w:rsidR="00E76573" w:rsidRPr="00495A33" w:rsidTr="001A4A78">
        <w:trPr>
          <w:trHeight w:val="255"/>
          <w:jc w:val="center"/>
        </w:trPr>
        <w:tc>
          <w:tcPr>
            <w:tcW w:w="3684" w:type="dxa"/>
            <w:tcBorders>
              <w:bottom w:val="single" w:sz="4" w:space="0" w:color="auto"/>
            </w:tcBorders>
            <w:shd w:val="clear" w:color="auto" w:fill="auto"/>
            <w:noWrap/>
            <w:vAlign w:val="center"/>
            <w:hideMark/>
          </w:tcPr>
          <w:p w:rsidR="00E76573" w:rsidRPr="004E2FAA" w:rsidRDefault="00E76573" w:rsidP="004E2FAA">
            <w:pPr>
              <w:pStyle w:val="cuatexto"/>
              <w:jc w:val="left"/>
            </w:pPr>
            <w:r w:rsidRPr="004E2FAA">
              <w:t>2015</w:t>
            </w:r>
          </w:p>
        </w:tc>
        <w:tc>
          <w:tcPr>
            <w:tcW w:w="2504" w:type="dxa"/>
            <w:tcBorders>
              <w:bottom w:val="single" w:sz="4" w:space="0" w:color="auto"/>
            </w:tcBorders>
            <w:shd w:val="clear" w:color="auto" w:fill="auto"/>
            <w:noWrap/>
            <w:vAlign w:val="center"/>
          </w:tcPr>
          <w:p w:rsidR="00E76573" w:rsidRPr="004E2FAA" w:rsidRDefault="00E76573" w:rsidP="004E2FAA">
            <w:pPr>
              <w:pStyle w:val="cuatexto"/>
              <w:jc w:val="right"/>
            </w:pPr>
            <w:r w:rsidRPr="004E2FAA">
              <w:t>1,56</w:t>
            </w:r>
          </w:p>
        </w:tc>
        <w:tc>
          <w:tcPr>
            <w:tcW w:w="2504" w:type="dxa"/>
            <w:tcBorders>
              <w:bottom w:val="single" w:sz="4" w:space="0" w:color="auto"/>
            </w:tcBorders>
            <w:vAlign w:val="center"/>
          </w:tcPr>
          <w:p w:rsidR="00E76573" w:rsidRPr="004E2FAA" w:rsidRDefault="00E76573" w:rsidP="004E2FAA">
            <w:pPr>
              <w:pStyle w:val="cuatexto"/>
              <w:jc w:val="right"/>
            </w:pPr>
            <w:r w:rsidRPr="004E2FAA">
              <w:t>1,58</w:t>
            </w:r>
          </w:p>
        </w:tc>
      </w:tr>
    </w:tbl>
    <w:p w:rsidR="009274C1" w:rsidRPr="001A4A78" w:rsidRDefault="00EA3404" w:rsidP="000F04AF">
      <w:pPr>
        <w:pStyle w:val="texto"/>
        <w:tabs>
          <w:tab w:val="clear" w:pos="2835"/>
          <w:tab w:val="clear" w:pos="3969"/>
          <w:tab w:val="clear" w:pos="5103"/>
          <w:tab w:val="clear" w:pos="6237"/>
          <w:tab w:val="clear" w:pos="7371"/>
        </w:tabs>
        <w:spacing w:before="240"/>
        <w:rPr>
          <w:spacing w:val="2"/>
          <w:szCs w:val="26"/>
        </w:rPr>
      </w:pPr>
      <w:r w:rsidRPr="001A4A78">
        <w:rPr>
          <w:spacing w:val="2"/>
          <w:szCs w:val="26"/>
        </w:rPr>
        <w:t>Es decir, las prescripciones hasta 2011, viene a representar en torno al 0,2</w:t>
      </w:r>
      <w:r w:rsidR="00181E9C">
        <w:rPr>
          <w:spacing w:val="2"/>
          <w:szCs w:val="26"/>
        </w:rPr>
        <w:t>5</w:t>
      </w:r>
      <w:r w:rsidRPr="001A4A78">
        <w:rPr>
          <w:spacing w:val="2"/>
          <w:szCs w:val="26"/>
        </w:rPr>
        <w:t xml:space="preserve"> por ciento de los ingresos tributarios</w:t>
      </w:r>
      <w:r w:rsidR="00076D92" w:rsidRPr="001A4A78">
        <w:rPr>
          <w:spacing w:val="2"/>
          <w:szCs w:val="26"/>
        </w:rPr>
        <w:t xml:space="preserve"> reconocidos</w:t>
      </w:r>
      <w:r w:rsidRPr="001A4A78">
        <w:rPr>
          <w:spacing w:val="2"/>
          <w:szCs w:val="26"/>
        </w:rPr>
        <w:t xml:space="preserve"> del ejercicio; entre 2013 y 2014, tal porcentaje se eleva al 0,36 por ciento. Finalmente en 2014 y especialmente en 2015, el peso relativo de las prescripciones se incrementa significativamente, a</w:t>
      </w:r>
      <w:r w:rsidRPr="001A4A78">
        <w:rPr>
          <w:spacing w:val="2"/>
          <w:szCs w:val="26"/>
        </w:rPr>
        <w:t>l</w:t>
      </w:r>
      <w:r w:rsidRPr="001A4A78">
        <w:rPr>
          <w:spacing w:val="2"/>
          <w:szCs w:val="26"/>
        </w:rPr>
        <w:t>canzando este último año citado el 1,56 por ciento de los ingresos tributarios.</w:t>
      </w:r>
      <w:r w:rsidR="009274C1" w:rsidRPr="001A4A78">
        <w:rPr>
          <w:spacing w:val="2"/>
          <w:szCs w:val="26"/>
        </w:rPr>
        <w:t xml:space="preserve"> La misma tendencia se observa si comparamos con la recaudación líquida.</w:t>
      </w:r>
    </w:p>
    <w:p w:rsidR="001A3578" w:rsidRPr="00A63248" w:rsidRDefault="001A3578" w:rsidP="001A3578">
      <w:pPr>
        <w:pStyle w:val="texto"/>
        <w:tabs>
          <w:tab w:val="clear" w:pos="2835"/>
          <w:tab w:val="clear" w:pos="3969"/>
          <w:tab w:val="clear" w:pos="5103"/>
          <w:tab w:val="clear" w:pos="6237"/>
          <w:tab w:val="clear" w:pos="7371"/>
        </w:tabs>
        <w:rPr>
          <w:szCs w:val="26"/>
        </w:rPr>
      </w:pPr>
      <w:r w:rsidRPr="00A63248">
        <w:rPr>
          <w:szCs w:val="26"/>
        </w:rPr>
        <w:t xml:space="preserve">En definitiva, y para el ejercicio de 2015, por cada 100 euros reconocidos y recaudados, las prescripciones representan más de 1,5 euros. </w:t>
      </w:r>
    </w:p>
    <w:p w:rsidR="001A3578" w:rsidRPr="00A63248" w:rsidRDefault="001A3578" w:rsidP="001A3578">
      <w:pPr>
        <w:pStyle w:val="texto"/>
        <w:tabs>
          <w:tab w:val="clear" w:pos="2835"/>
          <w:tab w:val="clear" w:pos="3969"/>
          <w:tab w:val="clear" w:pos="5103"/>
          <w:tab w:val="clear" w:pos="6237"/>
          <w:tab w:val="clear" w:pos="7371"/>
        </w:tabs>
        <w:rPr>
          <w:spacing w:val="4"/>
          <w:szCs w:val="26"/>
        </w:rPr>
      </w:pPr>
      <w:r w:rsidRPr="00A63248">
        <w:rPr>
          <w:spacing w:val="4"/>
          <w:szCs w:val="26"/>
        </w:rPr>
        <w:t xml:space="preserve">La evolución anterior está afectada, </w:t>
      </w:r>
      <w:r w:rsidR="00FB4AFC">
        <w:rPr>
          <w:spacing w:val="4"/>
          <w:szCs w:val="26"/>
        </w:rPr>
        <w:t xml:space="preserve">tanto por el </w:t>
      </w:r>
      <w:r w:rsidRPr="00A63248">
        <w:rPr>
          <w:spacing w:val="4"/>
          <w:szCs w:val="26"/>
        </w:rPr>
        <w:t>volumen de las propias pre</w:t>
      </w:r>
      <w:r w:rsidRPr="00A63248">
        <w:rPr>
          <w:spacing w:val="4"/>
          <w:szCs w:val="26"/>
        </w:rPr>
        <w:t>s</w:t>
      </w:r>
      <w:r w:rsidRPr="00A63248">
        <w:rPr>
          <w:spacing w:val="4"/>
          <w:szCs w:val="26"/>
        </w:rPr>
        <w:t xml:space="preserve">cripciones, </w:t>
      </w:r>
      <w:r w:rsidR="00FB4AFC">
        <w:rPr>
          <w:spacing w:val="4"/>
          <w:szCs w:val="26"/>
        </w:rPr>
        <w:t>como por la influencia de la crisis</w:t>
      </w:r>
      <w:r w:rsidR="00181E9C">
        <w:rPr>
          <w:spacing w:val="4"/>
          <w:szCs w:val="26"/>
        </w:rPr>
        <w:t xml:space="preserve"> económica</w:t>
      </w:r>
      <w:r w:rsidR="00FB4AFC">
        <w:rPr>
          <w:spacing w:val="4"/>
          <w:szCs w:val="26"/>
        </w:rPr>
        <w:t xml:space="preserve"> en la recaudación trib</w:t>
      </w:r>
      <w:r w:rsidR="00FB4AFC">
        <w:rPr>
          <w:spacing w:val="4"/>
          <w:szCs w:val="26"/>
        </w:rPr>
        <w:t>u</w:t>
      </w:r>
      <w:r w:rsidR="00FB4AFC">
        <w:rPr>
          <w:spacing w:val="4"/>
          <w:szCs w:val="26"/>
        </w:rPr>
        <w:t>taria de la Hacienda</w:t>
      </w:r>
      <w:r w:rsidRPr="00A63248">
        <w:rPr>
          <w:spacing w:val="4"/>
          <w:szCs w:val="26"/>
        </w:rPr>
        <w:t xml:space="preserve"> Foral</w:t>
      </w:r>
      <w:r w:rsidR="00FB4AFC">
        <w:rPr>
          <w:spacing w:val="4"/>
          <w:szCs w:val="26"/>
        </w:rPr>
        <w:t>.</w:t>
      </w:r>
    </w:p>
    <w:p w:rsidR="001A3578" w:rsidRPr="00A63248" w:rsidRDefault="001A3578" w:rsidP="000F04AF">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rPr>
          <w:szCs w:val="26"/>
        </w:rPr>
      </w:pPr>
      <w:r w:rsidRPr="00A63248">
        <w:rPr>
          <w:szCs w:val="26"/>
        </w:rPr>
        <w:t>También hemos efectuado la comparación, por ejercicio, de las prescri</w:t>
      </w:r>
      <w:r w:rsidRPr="00A63248">
        <w:rPr>
          <w:szCs w:val="26"/>
        </w:rPr>
        <w:t>p</w:t>
      </w:r>
      <w:r w:rsidRPr="00A63248">
        <w:rPr>
          <w:szCs w:val="26"/>
        </w:rPr>
        <w:t>ciones respecto al sal</w:t>
      </w:r>
      <w:r w:rsidR="00BB74C6" w:rsidRPr="00A63248">
        <w:rPr>
          <w:szCs w:val="26"/>
        </w:rPr>
        <w:t>d</w:t>
      </w:r>
      <w:r w:rsidRPr="00A63248">
        <w:rPr>
          <w:szCs w:val="26"/>
        </w:rPr>
        <w:t xml:space="preserve">o de deudores en </w:t>
      </w:r>
      <w:r w:rsidR="0052666E" w:rsidRPr="00A63248">
        <w:rPr>
          <w:szCs w:val="26"/>
        </w:rPr>
        <w:t>vía de apremio</w:t>
      </w:r>
      <w:r w:rsidRPr="00A63248">
        <w:rPr>
          <w:szCs w:val="26"/>
        </w:rPr>
        <w:t>.</w:t>
      </w:r>
      <w:r w:rsidR="0052666E" w:rsidRPr="00A63248">
        <w:rPr>
          <w:szCs w:val="26"/>
        </w:rPr>
        <w:t xml:space="preserve"> Así (importe en miles):</w:t>
      </w:r>
    </w:p>
    <w:tbl>
      <w:tblPr>
        <w:tblW w:w="877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24"/>
        <w:gridCol w:w="2809"/>
        <w:gridCol w:w="3946"/>
      </w:tblGrid>
      <w:tr w:rsidR="0052666E" w:rsidRPr="00495A33" w:rsidTr="001A4A78">
        <w:trPr>
          <w:trHeight w:val="255"/>
          <w:jc w:val="center"/>
        </w:trPr>
        <w:tc>
          <w:tcPr>
            <w:tcW w:w="2024" w:type="dxa"/>
            <w:tcBorders>
              <w:top w:val="single" w:sz="4" w:space="0" w:color="auto"/>
              <w:bottom w:val="single" w:sz="4" w:space="0" w:color="auto"/>
            </w:tcBorders>
            <w:shd w:val="clear" w:color="auto" w:fill="A8CBEE" w:themeFill="accent2" w:themeFillTint="66"/>
            <w:noWrap/>
            <w:vAlign w:val="center"/>
          </w:tcPr>
          <w:p w:rsidR="0052666E" w:rsidRDefault="0052666E" w:rsidP="0052666E">
            <w:pPr>
              <w:pStyle w:val="cuadroCabe"/>
              <w:rPr>
                <w:lang w:val="es-ES" w:eastAsia="es-ES"/>
              </w:rPr>
            </w:pPr>
            <w:r>
              <w:rPr>
                <w:lang w:val="es-ES" w:eastAsia="es-ES"/>
              </w:rPr>
              <w:t>Ejercicio</w:t>
            </w:r>
          </w:p>
        </w:tc>
        <w:tc>
          <w:tcPr>
            <w:tcW w:w="2809" w:type="dxa"/>
            <w:tcBorders>
              <w:top w:val="single" w:sz="4" w:space="0" w:color="auto"/>
              <w:bottom w:val="single" w:sz="4" w:space="0" w:color="auto"/>
            </w:tcBorders>
            <w:shd w:val="clear" w:color="auto" w:fill="A8CBEE" w:themeFill="accent2" w:themeFillTint="66"/>
            <w:noWrap/>
            <w:vAlign w:val="center"/>
          </w:tcPr>
          <w:p w:rsidR="0052666E" w:rsidRPr="00495A33" w:rsidRDefault="0052666E" w:rsidP="00B81482">
            <w:pPr>
              <w:pStyle w:val="cuadroCabe"/>
              <w:jc w:val="right"/>
              <w:rPr>
                <w:lang w:val="es-ES" w:eastAsia="es-ES"/>
              </w:rPr>
            </w:pPr>
            <w:r>
              <w:rPr>
                <w:lang w:val="es-ES" w:eastAsia="es-ES"/>
              </w:rPr>
              <w:t>Deudores en vía de apremio</w:t>
            </w:r>
          </w:p>
        </w:tc>
        <w:tc>
          <w:tcPr>
            <w:tcW w:w="3946" w:type="dxa"/>
            <w:tcBorders>
              <w:top w:val="single" w:sz="4" w:space="0" w:color="auto"/>
              <w:bottom w:val="single" w:sz="4" w:space="0" w:color="auto"/>
            </w:tcBorders>
            <w:shd w:val="clear" w:color="auto" w:fill="A8CBEE" w:themeFill="accent2" w:themeFillTint="66"/>
            <w:vAlign w:val="center"/>
          </w:tcPr>
          <w:p w:rsidR="0052666E" w:rsidRDefault="0052666E" w:rsidP="000F04AF">
            <w:pPr>
              <w:pStyle w:val="cuadroCabe"/>
              <w:jc w:val="right"/>
              <w:rPr>
                <w:lang w:val="es-ES" w:eastAsia="es-ES"/>
              </w:rPr>
            </w:pPr>
            <w:r>
              <w:rPr>
                <w:lang w:val="es-ES" w:eastAsia="es-ES"/>
              </w:rPr>
              <w:t>% prescripción</w:t>
            </w:r>
            <w:r w:rsidR="000F04AF">
              <w:rPr>
                <w:lang w:val="es-ES" w:eastAsia="es-ES"/>
              </w:rPr>
              <w:t>/</w:t>
            </w:r>
            <w:r>
              <w:rPr>
                <w:lang w:val="es-ES" w:eastAsia="es-ES"/>
              </w:rPr>
              <w:t>deudores en vía de apremio</w:t>
            </w:r>
          </w:p>
        </w:tc>
      </w:tr>
      <w:tr w:rsidR="0052666E" w:rsidRPr="00495A33" w:rsidTr="001A4A78">
        <w:trPr>
          <w:trHeight w:val="255"/>
          <w:jc w:val="center"/>
        </w:trPr>
        <w:tc>
          <w:tcPr>
            <w:tcW w:w="2024" w:type="dxa"/>
            <w:tcBorders>
              <w:top w:val="single" w:sz="4" w:space="0" w:color="auto"/>
              <w:bottom w:val="single" w:sz="2" w:space="0" w:color="auto"/>
            </w:tcBorders>
            <w:shd w:val="clear" w:color="auto" w:fill="auto"/>
            <w:noWrap/>
            <w:vAlign w:val="center"/>
            <w:hideMark/>
          </w:tcPr>
          <w:p w:rsidR="0052666E" w:rsidRPr="004E2FAA" w:rsidRDefault="0052666E" w:rsidP="0052666E">
            <w:pPr>
              <w:pStyle w:val="cuatexto"/>
              <w:jc w:val="left"/>
            </w:pPr>
            <w:r w:rsidRPr="004E2FAA">
              <w:t>2008</w:t>
            </w:r>
          </w:p>
        </w:tc>
        <w:tc>
          <w:tcPr>
            <w:tcW w:w="2809" w:type="dxa"/>
            <w:tcBorders>
              <w:top w:val="single" w:sz="4" w:space="0" w:color="auto"/>
              <w:bottom w:val="single" w:sz="2" w:space="0" w:color="auto"/>
            </w:tcBorders>
            <w:shd w:val="clear" w:color="auto" w:fill="auto"/>
            <w:noWrap/>
            <w:vAlign w:val="center"/>
          </w:tcPr>
          <w:p w:rsidR="0052666E" w:rsidRPr="004E2FAA" w:rsidRDefault="0052666E" w:rsidP="0052666E">
            <w:pPr>
              <w:pStyle w:val="cuatexto"/>
              <w:jc w:val="right"/>
            </w:pPr>
            <w:r>
              <w:t>165.276</w:t>
            </w:r>
          </w:p>
        </w:tc>
        <w:tc>
          <w:tcPr>
            <w:tcW w:w="3946" w:type="dxa"/>
            <w:tcBorders>
              <w:top w:val="single" w:sz="4" w:space="0" w:color="auto"/>
              <w:bottom w:val="single" w:sz="2" w:space="0" w:color="auto"/>
            </w:tcBorders>
            <w:vAlign w:val="center"/>
          </w:tcPr>
          <w:p w:rsidR="0052666E" w:rsidRPr="004E2FAA" w:rsidRDefault="0052666E" w:rsidP="003639DE">
            <w:pPr>
              <w:pStyle w:val="cuatexto"/>
              <w:jc w:val="right"/>
            </w:pPr>
            <w:r>
              <w:t>4,</w:t>
            </w:r>
            <w:r w:rsidR="003639DE">
              <w:t>82</w:t>
            </w:r>
          </w:p>
        </w:tc>
      </w:tr>
      <w:tr w:rsidR="0052666E" w:rsidRPr="00495A33" w:rsidTr="001A4A78">
        <w:trPr>
          <w:trHeight w:val="255"/>
          <w:jc w:val="center"/>
        </w:trPr>
        <w:tc>
          <w:tcPr>
            <w:tcW w:w="2024" w:type="dxa"/>
            <w:tcBorders>
              <w:top w:val="single" w:sz="2" w:space="0" w:color="auto"/>
              <w:bottom w:val="single" w:sz="2" w:space="0" w:color="auto"/>
            </w:tcBorders>
            <w:shd w:val="clear" w:color="auto" w:fill="auto"/>
            <w:noWrap/>
            <w:vAlign w:val="center"/>
            <w:hideMark/>
          </w:tcPr>
          <w:p w:rsidR="0052666E" w:rsidRPr="004E2FAA" w:rsidRDefault="0052666E" w:rsidP="0052666E">
            <w:pPr>
              <w:pStyle w:val="cuatexto"/>
              <w:jc w:val="left"/>
            </w:pPr>
            <w:r w:rsidRPr="004E2FAA">
              <w:t>2009</w:t>
            </w:r>
          </w:p>
        </w:tc>
        <w:tc>
          <w:tcPr>
            <w:tcW w:w="2809" w:type="dxa"/>
            <w:tcBorders>
              <w:top w:val="single" w:sz="2" w:space="0" w:color="auto"/>
              <w:bottom w:val="single" w:sz="2" w:space="0" w:color="auto"/>
            </w:tcBorders>
            <w:shd w:val="clear" w:color="auto" w:fill="auto"/>
            <w:noWrap/>
            <w:vAlign w:val="center"/>
          </w:tcPr>
          <w:p w:rsidR="0052666E" w:rsidRPr="004E2FAA" w:rsidRDefault="0052666E" w:rsidP="0052666E">
            <w:pPr>
              <w:pStyle w:val="cuatexto"/>
              <w:jc w:val="right"/>
            </w:pPr>
            <w:r>
              <w:t>220.420</w:t>
            </w:r>
          </w:p>
        </w:tc>
        <w:tc>
          <w:tcPr>
            <w:tcW w:w="3946" w:type="dxa"/>
            <w:tcBorders>
              <w:top w:val="single" w:sz="2" w:space="0" w:color="auto"/>
              <w:bottom w:val="single" w:sz="2" w:space="0" w:color="auto"/>
            </w:tcBorders>
            <w:vAlign w:val="center"/>
          </w:tcPr>
          <w:p w:rsidR="0052666E" w:rsidRPr="004E2FAA" w:rsidRDefault="0052666E" w:rsidP="0052666E">
            <w:pPr>
              <w:pStyle w:val="cuatexto"/>
              <w:jc w:val="right"/>
            </w:pPr>
            <w:r>
              <w:t>4,45</w:t>
            </w:r>
          </w:p>
        </w:tc>
      </w:tr>
      <w:tr w:rsidR="0052666E" w:rsidRPr="00495A33" w:rsidTr="001A4A78">
        <w:trPr>
          <w:trHeight w:val="255"/>
          <w:jc w:val="center"/>
        </w:trPr>
        <w:tc>
          <w:tcPr>
            <w:tcW w:w="2024" w:type="dxa"/>
            <w:tcBorders>
              <w:top w:val="single" w:sz="2" w:space="0" w:color="auto"/>
              <w:bottom w:val="single" w:sz="2" w:space="0" w:color="auto"/>
            </w:tcBorders>
            <w:shd w:val="clear" w:color="auto" w:fill="auto"/>
            <w:noWrap/>
            <w:vAlign w:val="center"/>
            <w:hideMark/>
          </w:tcPr>
          <w:p w:rsidR="0052666E" w:rsidRPr="004E2FAA" w:rsidRDefault="0052666E" w:rsidP="0052666E">
            <w:pPr>
              <w:pStyle w:val="cuatexto"/>
              <w:jc w:val="left"/>
            </w:pPr>
            <w:r w:rsidRPr="004E2FAA">
              <w:t>2010</w:t>
            </w:r>
          </w:p>
        </w:tc>
        <w:tc>
          <w:tcPr>
            <w:tcW w:w="2809" w:type="dxa"/>
            <w:tcBorders>
              <w:top w:val="single" w:sz="2" w:space="0" w:color="auto"/>
              <w:bottom w:val="single" w:sz="2" w:space="0" w:color="auto"/>
            </w:tcBorders>
            <w:shd w:val="clear" w:color="auto" w:fill="auto"/>
            <w:noWrap/>
            <w:vAlign w:val="center"/>
          </w:tcPr>
          <w:p w:rsidR="0052666E" w:rsidRPr="004E2FAA" w:rsidRDefault="0052666E" w:rsidP="0052666E">
            <w:pPr>
              <w:pStyle w:val="cuatexto"/>
              <w:jc w:val="right"/>
            </w:pPr>
            <w:r>
              <w:t>269.356</w:t>
            </w:r>
          </w:p>
        </w:tc>
        <w:tc>
          <w:tcPr>
            <w:tcW w:w="3946" w:type="dxa"/>
            <w:tcBorders>
              <w:top w:val="single" w:sz="2" w:space="0" w:color="auto"/>
              <w:bottom w:val="single" w:sz="2" w:space="0" w:color="auto"/>
            </w:tcBorders>
            <w:vAlign w:val="center"/>
          </w:tcPr>
          <w:p w:rsidR="0052666E" w:rsidRPr="004E2FAA" w:rsidRDefault="0052666E" w:rsidP="0052666E">
            <w:pPr>
              <w:pStyle w:val="cuatexto"/>
              <w:jc w:val="right"/>
            </w:pPr>
            <w:r>
              <w:t>3,22</w:t>
            </w:r>
          </w:p>
        </w:tc>
      </w:tr>
      <w:tr w:rsidR="0052666E" w:rsidRPr="00495A33" w:rsidTr="001A4A78">
        <w:trPr>
          <w:trHeight w:val="255"/>
          <w:jc w:val="center"/>
        </w:trPr>
        <w:tc>
          <w:tcPr>
            <w:tcW w:w="2024" w:type="dxa"/>
            <w:tcBorders>
              <w:top w:val="single" w:sz="2" w:space="0" w:color="auto"/>
              <w:bottom w:val="single" w:sz="2" w:space="0" w:color="auto"/>
            </w:tcBorders>
            <w:shd w:val="clear" w:color="auto" w:fill="auto"/>
            <w:noWrap/>
            <w:vAlign w:val="center"/>
            <w:hideMark/>
          </w:tcPr>
          <w:p w:rsidR="0052666E" w:rsidRPr="004E2FAA" w:rsidRDefault="0052666E" w:rsidP="0052666E">
            <w:pPr>
              <w:pStyle w:val="cuatexto"/>
              <w:jc w:val="left"/>
            </w:pPr>
            <w:r w:rsidRPr="004E2FAA">
              <w:t>2011</w:t>
            </w:r>
          </w:p>
        </w:tc>
        <w:tc>
          <w:tcPr>
            <w:tcW w:w="2809" w:type="dxa"/>
            <w:tcBorders>
              <w:top w:val="single" w:sz="2" w:space="0" w:color="auto"/>
              <w:bottom w:val="single" w:sz="2" w:space="0" w:color="auto"/>
            </w:tcBorders>
            <w:shd w:val="clear" w:color="auto" w:fill="auto"/>
            <w:noWrap/>
            <w:vAlign w:val="center"/>
          </w:tcPr>
          <w:p w:rsidR="0052666E" w:rsidRPr="004E2FAA" w:rsidRDefault="0052666E" w:rsidP="0052666E">
            <w:pPr>
              <w:pStyle w:val="cuatexto"/>
              <w:jc w:val="right"/>
            </w:pPr>
            <w:r>
              <w:t>335.538</w:t>
            </w:r>
          </w:p>
        </w:tc>
        <w:tc>
          <w:tcPr>
            <w:tcW w:w="3946" w:type="dxa"/>
            <w:tcBorders>
              <w:top w:val="single" w:sz="2" w:space="0" w:color="auto"/>
              <w:bottom w:val="single" w:sz="2" w:space="0" w:color="auto"/>
            </w:tcBorders>
            <w:vAlign w:val="center"/>
          </w:tcPr>
          <w:p w:rsidR="0052666E" w:rsidRPr="004E2FAA" w:rsidRDefault="0052666E" w:rsidP="0052666E">
            <w:pPr>
              <w:pStyle w:val="cuatexto"/>
              <w:jc w:val="right"/>
            </w:pPr>
            <w:r>
              <w:t>2,38</w:t>
            </w:r>
          </w:p>
        </w:tc>
      </w:tr>
      <w:tr w:rsidR="0052666E" w:rsidRPr="00495A33" w:rsidTr="001A4A78">
        <w:trPr>
          <w:trHeight w:val="255"/>
          <w:jc w:val="center"/>
        </w:trPr>
        <w:tc>
          <w:tcPr>
            <w:tcW w:w="2024" w:type="dxa"/>
            <w:tcBorders>
              <w:top w:val="single" w:sz="2" w:space="0" w:color="auto"/>
              <w:bottom w:val="single" w:sz="2" w:space="0" w:color="auto"/>
            </w:tcBorders>
            <w:shd w:val="clear" w:color="auto" w:fill="auto"/>
            <w:noWrap/>
            <w:vAlign w:val="center"/>
            <w:hideMark/>
          </w:tcPr>
          <w:p w:rsidR="0052666E" w:rsidRPr="004E2FAA" w:rsidRDefault="0052666E" w:rsidP="0052666E">
            <w:pPr>
              <w:pStyle w:val="cuatexto"/>
              <w:jc w:val="left"/>
            </w:pPr>
            <w:r w:rsidRPr="004E2FAA">
              <w:t>2012</w:t>
            </w:r>
          </w:p>
        </w:tc>
        <w:tc>
          <w:tcPr>
            <w:tcW w:w="2809" w:type="dxa"/>
            <w:tcBorders>
              <w:top w:val="single" w:sz="2" w:space="0" w:color="auto"/>
              <w:bottom w:val="single" w:sz="2" w:space="0" w:color="auto"/>
            </w:tcBorders>
            <w:shd w:val="clear" w:color="auto" w:fill="auto"/>
            <w:noWrap/>
            <w:vAlign w:val="center"/>
          </w:tcPr>
          <w:p w:rsidR="0052666E" w:rsidRPr="004E2FAA" w:rsidRDefault="0052666E" w:rsidP="0052666E">
            <w:pPr>
              <w:pStyle w:val="cuatexto"/>
              <w:jc w:val="right"/>
            </w:pPr>
            <w:r>
              <w:t>386.900</w:t>
            </w:r>
          </w:p>
        </w:tc>
        <w:tc>
          <w:tcPr>
            <w:tcW w:w="3946" w:type="dxa"/>
            <w:tcBorders>
              <w:top w:val="single" w:sz="2" w:space="0" w:color="auto"/>
              <w:bottom w:val="single" w:sz="2" w:space="0" w:color="auto"/>
            </w:tcBorders>
            <w:vAlign w:val="center"/>
          </w:tcPr>
          <w:p w:rsidR="0052666E" w:rsidRPr="004E2FAA" w:rsidRDefault="00BB74C6" w:rsidP="0052666E">
            <w:pPr>
              <w:pStyle w:val="cuatexto"/>
              <w:jc w:val="right"/>
            </w:pPr>
            <w:r>
              <w:t>2,85</w:t>
            </w:r>
          </w:p>
        </w:tc>
      </w:tr>
      <w:tr w:rsidR="0052666E" w:rsidRPr="00495A33" w:rsidTr="001A4A78">
        <w:trPr>
          <w:trHeight w:val="255"/>
          <w:jc w:val="center"/>
        </w:trPr>
        <w:tc>
          <w:tcPr>
            <w:tcW w:w="2024" w:type="dxa"/>
            <w:tcBorders>
              <w:top w:val="single" w:sz="2" w:space="0" w:color="auto"/>
              <w:bottom w:val="single" w:sz="2" w:space="0" w:color="auto"/>
            </w:tcBorders>
            <w:shd w:val="clear" w:color="auto" w:fill="auto"/>
            <w:noWrap/>
            <w:vAlign w:val="center"/>
            <w:hideMark/>
          </w:tcPr>
          <w:p w:rsidR="0052666E" w:rsidRPr="004E2FAA" w:rsidRDefault="0052666E" w:rsidP="0052666E">
            <w:pPr>
              <w:pStyle w:val="cuatexto"/>
              <w:jc w:val="left"/>
            </w:pPr>
            <w:r w:rsidRPr="004E2FAA">
              <w:t>2013</w:t>
            </w:r>
          </w:p>
        </w:tc>
        <w:tc>
          <w:tcPr>
            <w:tcW w:w="2809" w:type="dxa"/>
            <w:tcBorders>
              <w:top w:val="single" w:sz="2" w:space="0" w:color="auto"/>
              <w:bottom w:val="single" w:sz="2" w:space="0" w:color="auto"/>
            </w:tcBorders>
            <w:shd w:val="clear" w:color="auto" w:fill="auto"/>
            <w:noWrap/>
            <w:vAlign w:val="center"/>
          </w:tcPr>
          <w:p w:rsidR="0052666E" w:rsidRPr="004E2FAA" w:rsidRDefault="0052666E" w:rsidP="0052666E">
            <w:pPr>
              <w:pStyle w:val="cuatexto"/>
              <w:jc w:val="right"/>
            </w:pPr>
            <w:r>
              <w:t>431.600</w:t>
            </w:r>
          </w:p>
        </w:tc>
        <w:tc>
          <w:tcPr>
            <w:tcW w:w="3946" w:type="dxa"/>
            <w:tcBorders>
              <w:top w:val="single" w:sz="2" w:space="0" w:color="auto"/>
              <w:bottom w:val="single" w:sz="2" w:space="0" w:color="auto"/>
            </w:tcBorders>
            <w:vAlign w:val="center"/>
          </w:tcPr>
          <w:p w:rsidR="0052666E" w:rsidRPr="004E2FAA" w:rsidRDefault="00BB74C6" w:rsidP="0052666E">
            <w:pPr>
              <w:pStyle w:val="cuatexto"/>
              <w:jc w:val="right"/>
            </w:pPr>
            <w:r>
              <w:t>2,59</w:t>
            </w:r>
          </w:p>
        </w:tc>
      </w:tr>
      <w:tr w:rsidR="0052666E" w:rsidRPr="00495A33" w:rsidTr="001A4A78">
        <w:trPr>
          <w:trHeight w:val="255"/>
          <w:jc w:val="center"/>
        </w:trPr>
        <w:tc>
          <w:tcPr>
            <w:tcW w:w="2024" w:type="dxa"/>
            <w:tcBorders>
              <w:top w:val="single" w:sz="2" w:space="0" w:color="auto"/>
              <w:bottom w:val="single" w:sz="2" w:space="0" w:color="auto"/>
            </w:tcBorders>
            <w:shd w:val="clear" w:color="auto" w:fill="auto"/>
            <w:noWrap/>
            <w:vAlign w:val="center"/>
            <w:hideMark/>
          </w:tcPr>
          <w:p w:rsidR="0052666E" w:rsidRPr="004E2FAA" w:rsidRDefault="0052666E" w:rsidP="0052666E">
            <w:pPr>
              <w:pStyle w:val="cuatexto"/>
              <w:jc w:val="left"/>
            </w:pPr>
            <w:r w:rsidRPr="004E2FAA">
              <w:t>2014</w:t>
            </w:r>
          </w:p>
        </w:tc>
        <w:tc>
          <w:tcPr>
            <w:tcW w:w="2809" w:type="dxa"/>
            <w:tcBorders>
              <w:top w:val="single" w:sz="2" w:space="0" w:color="auto"/>
              <w:bottom w:val="single" w:sz="2" w:space="0" w:color="auto"/>
            </w:tcBorders>
            <w:shd w:val="clear" w:color="auto" w:fill="auto"/>
            <w:noWrap/>
            <w:vAlign w:val="center"/>
          </w:tcPr>
          <w:p w:rsidR="0052666E" w:rsidRPr="004E2FAA" w:rsidRDefault="0052666E" w:rsidP="0052666E">
            <w:pPr>
              <w:pStyle w:val="cuatexto"/>
              <w:jc w:val="right"/>
            </w:pPr>
            <w:r>
              <w:t>514.075</w:t>
            </w:r>
          </w:p>
        </w:tc>
        <w:tc>
          <w:tcPr>
            <w:tcW w:w="3946" w:type="dxa"/>
            <w:tcBorders>
              <w:top w:val="single" w:sz="2" w:space="0" w:color="auto"/>
              <w:bottom w:val="single" w:sz="2" w:space="0" w:color="auto"/>
            </w:tcBorders>
            <w:vAlign w:val="center"/>
          </w:tcPr>
          <w:p w:rsidR="0052666E" w:rsidRPr="004E2FAA" w:rsidRDefault="00BB74C6" w:rsidP="003639DE">
            <w:pPr>
              <w:pStyle w:val="cuatexto"/>
              <w:jc w:val="right"/>
            </w:pPr>
            <w:r>
              <w:t>4,3</w:t>
            </w:r>
            <w:r w:rsidR="003639DE">
              <w:t>0</w:t>
            </w:r>
          </w:p>
        </w:tc>
      </w:tr>
      <w:tr w:rsidR="0052666E" w:rsidRPr="00495A33" w:rsidTr="001A4A78">
        <w:trPr>
          <w:trHeight w:val="255"/>
          <w:jc w:val="center"/>
        </w:trPr>
        <w:tc>
          <w:tcPr>
            <w:tcW w:w="2024" w:type="dxa"/>
            <w:tcBorders>
              <w:top w:val="single" w:sz="2" w:space="0" w:color="auto"/>
            </w:tcBorders>
            <w:shd w:val="clear" w:color="auto" w:fill="auto"/>
            <w:noWrap/>
            <w:vAlign w:val="center"/>
            <w:hideMark/>
          </w:tcPr>
          <w:p w:rsidR="0052666E" w:rsidRPr="004E2FAA" w:rsidRDefault="0052666E" w:rsidP="0052666E">
            <w:pPr>
              <w:pStyle w:val="cuatexto"/>
              <w:jc w:val="left"/>
            </w:pPr>
            <w:r w:rsidRPr="004E2FAA">
              <w:t>2015</w:t>
            </w:r>
          </w:p>
        </w:tc>
        <w:tc>
          <w:tcPr>
            <w:tcW w:w="2809" w:type="dxa"/>
            <w:tcBorders>
              <w:top w:val="single" w:sz="2" w:space="0" w:color="auto"/>
            </w:tcBorders>
            <w:shd w:val="clear" w:color="auto" w:fill="auto"/>
            <w:noWrap/>
            <w:vAlign w:val="center"/>
          </w:tcPr>
          <w:p w:rsidR="0052666E" w:rsidRPr="004E2FAA" w:rsidRDefault="0052666E" w:rsidP="0052666E">
            <w:pPr>
              <w:pStyle w:val="cuatexto"/>
              <w:jc w:val="right"/>
            </w:pPr>
            <w:r>
              <w:t>496.780</w:t>
            </w:r>
          </w:p>
        </w:tc>
        <w:tc>
          <w:tcPr>
            <w:tcW w:w="3946" w:type="dxa"/>
            <w:tcBorders>
              <w:top w:val="single" w:sz="2" w:space="0" w:color="auto"/>
            </w:tcBorders>
            <w:vAlign w:val="center"/>
          </w:tcPr>
          <w:p w:rsidR="0052666E" w:rsidRPr="004E2FAA" w:rsidRDefault="00BB74C6" w:rsidP="0052666E">
            <w:pPr>
              <w:pStyle w:val="cuatexto"/>
              <w:jc w:val="right"/>
            </w:pPr>
            <w:r>
              <w:t>10,09</w:t>
            </w:r>
          </w:p>
        </w:tc>
      </w:tr>
    </w:tbl>
    <w:p w:rsidR="000F04AF" w:rsidRDefault="00BB74C6" w:rsidP="001A4A78">
      <w:pPr>
        <w:pStyle w:val="texto"/>
        <w:tabs>
          <w:tab w:val="clear" w:pos="2835"/>
          <w:tab w:val="clear" w:pos="3969"/>
          <w:tab w:val="clear" w:pos="5103"/>
          <w:tab w:val="clear" w:pos="6237"/>
          <w:tab w:val="clear" w:pos="7371"/>
        </w:tabs>
        <w:spacing w:before="240" w:after="0"/>
        <w:rPr>
          <w:rFonts w:ascii="Arial" w:hAnsi="Arial"/>
          <w:i/>
          <w:iCs/>
          <w:color w:val="000000"/>
          <w:spacing w:val="10"/>
          <w:kern w:val="28"/>
          <w:sz w:val="25"/>
          <w:szCs w:val="26"/>
        </w:rPr>
      </w:pPr>
      <w:r w:rsidRPr="00A63248">
        <w:rPr>
          <w:szCs w:val="26"/>
        </w:rPr>
        <w:t>En primer lugar, destacamos el incremento del saldo de deudores en vía de apremio que, entre 2008 y 2015, se ha multiplicado prácticamente por tres. S</w:t>
      </w:r>
      <w:r w:rsidRPr="00A63248">
        <w:rPr>
          <w:szCs w:val="26"/>
        </w:rPr>
        <w:t>o</w:t>
      </w:r>
      <w:r w:rsidRPr="00A63248">
        <w:rPr>
          <w:szCs w:val="26"/>
        </w:rPr>
        <w:t xml:space="preserve">bre esos saldos, las prescripciones, hasta 2014, se mantienen en un porcentaje de entre el dos y el cuatro por ciento; en 2015, sin embargo, asciende al diez por ciento. </w:t>
      </w:r>
    </w:p>
    <w:p w:rsidR="003A2790" w:rsidRPr="001C7C66" w:rsidRDefault="003A2790" w:rsidP="003A2790">
      <w:pPr>
        <w:pStyle w:val="atitulo2"/>
      </w:pPr>
      <w:bookmarkStart w:id="14" w:name="_Toc465150104"/>
      <w:r w:rsidRPr="001C7C66">
        <w:lastRenderedPageBreak/>
        <w:t>IV.</w:t>
      </w:r>
      <w:r>
        <w:t>2</w:t>
      </w:r>
      <w:r w:rsidRPr="001C7C66">
        <w:t>.</w:t>
      </w:r>
      <w:r>
        <w:t xml:space="preserve"> Opinión de cumplimiento de legalidad</w:t>
      </w:r>
      <w:bookmarkEnd w:id="14"/>
    </w:p>
    <w:p w:rsidR="003A2790" w:rsidRPr="004F32B1" w:rsidRDefault="003A2790" w:rsidP="003A2790">
      <w:pPr>
        <w:pStyle w:val="atitulo3"/>
      </w:pPr>
      <w:r w:rsidRPr="004F32B1">
        <w:t>Responsabilidad de</w:t>
      </w:r>
      <w:r>
        <w:t xml:space="preserve"> la Hacienda Tributaria de Navarra </w:t>
      </w:r>
    </w:p>
    <w:p w:rsidR="003A2790" w:rsidRDefault="003A2790" w:rsidP="003A2790">
      <w:pPr>
        <w:pStyle w:val="texto"/>
      </w:pPr>
      <w:r w:rsidRPr="00257D3F">
        <w:t>La</w:t>
      </w:r>
      <w:r>
        <w:t xml:space="preserve"> Hacienda Tributaria de Navarra, a través de sus servicios competentes en esta materia, deberá garantizar que la prescripción de deudas y la información que de las mismas se reflejan en sus estados financieros resultan conformes con la normativa vigente.</w:t>
      </w:r>
      <w:r w:rsidRPr="001C16A2">
        <w:t xml:space="preserve"> </w:t>
      </w:r>
    </w:p>
    <w:p w:rsidR="003A2790" w:rsidRDefault="003A2790" w:rsidP="003A2790">
      <w:pPr>
        <w:pStyle w:val="texto"/>
        <w:spacing w:after="240"/>
      </w:pPr>
      <w:r>
        <w:t xml:space="preserve">Asimismo </w:t>
      </w:r>
      <w:r w:rsidRPr="00257D3F">
        <w:t xml:space="preserve">son responsables </w:t>
      </w:r>
      <w:r>
        <w:t xml:space="preserve">del control interno que se considerara necesario para </w:t>
      </w:r>
      <w:r>
        <w:tab/>
        <w:t xml:space="preserve">que la gestión y registro de esas </w:t>
      </w:r>
      <w:r w:rsidR="00044A08">
        <w:t>prescripciones</w:t>
      </w:r>
      <w:r>
        <w:t xml:space="preserve"> estén libres de incumpl</w:t>
      </w:r>
      <w:r>
        <w:t>i</w:t>
      </w:r>
      <w:r>
        <w:t xml:space="preserve">mientos legales y de incorrecciones materiales debidas a fraude o error. </w:t>
      </w:r>
    </w:p>
    <w:p w:rsidR="003A2790" w:rsidRPr="00F71FD2" w:rsidRDefault="003A2790" w:rsidP="003A2790">
      <w:pPr>
        <w:pStyle w:val="atitulo3"/>
      </w:pPr>
      <w:r w:rsidRPr="00F71FD2">
        <w:t>Responsabilidad de la Cámara de Comptos de Navarra</w:t>
      </w:r>
    </w:p>
    <w:p w:rsidR="003A2790" w:rsidRDefault="003A2790" w:rsidP="003A2790">
      <w:pPr>
        <w:pStyle w:val="texto"/>
      </w:pPr>
      <w:r w:rsidRPr="004F32B1">
        <w:t xml:space="preserve">Nuestra responsabilidad es expresar una opinión sobre </w:t>
      </w:r>
      <w:r>
        <w:t>la legalidad en la</w:t>
      </w:r>
      <w:r w:rsidR="00044A08">
        <w:t>s</w:t>
      </w:r>
      <w:r>
        <w:t xml:space="preserve"> prescripci</w:t>
      </w:r>
      <w:r w:rsidR="00044A08">
        <w:t>ones autorizadas, aprobadas, justificadas</w:t>
      </w:r>
      <w:r>
        <w:t xml:space="preserve"> y registr</w:t>
      </w:r>
      <w:r w:rsidR="00044A08">
        <w:t>adas</w:t>
      </w:r>
      <w:r w:rsidRPr="004F32B1">
        <w:t xml:space="preserve">. </w:t>
      </w:r>
      <w:r>
        <w:t>Para ello, h</w:t>
      </w:r>
      <w:r w:rsidRPr="004F32B1">
        <w:t>e</w:t>
      </w:r>
      <w:r w:rsidRPr="004F32B1">
        <w:t xml:space="preserve">mos llevado a cabo </w:t>
      </w:r>
      <w:r>
        <w:t>la misma</w:t>
      </w:r>
      <w:r w:rsidRPr="004F32B1">
        <w:t xml:space="preserve"> de conformidad con los </w:t>
      </w:r>
      <w:r>
        <w:t>p</w:t>
      </w:r>
      <w:r w:rsidRPr="004F32B1">
        <w:t xml:space="preserve">rincipios </w:t>
      </w:r>
      <w:r>
        <w:t>básicos</w:t>
      </w:r>
      <w:r w:rsidRPr="004F32B1">
        <w:t xml:space="preserve"> de fi</w:t>
      </w:r>
      <w:r w:rsidRPr="004F32B1">
        <w:t>s</w:t>
      </w:r>
      <w:r w:rsidRPr="004F32B1">
        <w:t>calización de las Instituciones</w:t>
      </w:r>
      <w:r>
        <w:t xml:space="preserve"> Públicas de Control Externo. </w:t>
      </w:r>
    </w:p>
    <w:p w:rsidR="003A2790" w:rsidRDefault="003A2790" w:rsidP="003A2790">
      <w:pPr>
        <w:pStyle w:val="texto"/>
      </w:pPr>
      <w:r>
        <w:t>Dichos principios exigen que planifiquemos y ejecutemos la fiscalización con el fin de obtener una seguridad razonable de que las prescripciones anal</w:t>
      </w:r>
      <w:r>
        <w:t>i</w:t>
      </w:r>
      <w:r>
        <w:t>zadas correspondiente</w:t>
      </w:r>
      <w:r w:rsidR="00044A08">
        <w:t>s</w:t>
      </w:r>
      <w:r>
        <w:t xml:space="preserve"> al periodo de 2008 a 2015 resulta</w:t>
      </w:r>
      <w:r w:rsidR="00044A08">
        <w:t>n</w:t>
      </w:r>
      <w:r>
        <w:t xml:space="preserve"> </w:t>
      </w:r>
      <w:r w:rsidR="001E1B94">
        <w:t>conformes</w:t>
      </w:r>
      <w:r>
        <w:t>, en todos sus aspectos significativos, con la normativa aplicable.</w:t>
      </w:r>
    </w:p>
    <w:p w:rsidR="003A2790" w:rsidRPr="001A4A78" w:rsidRDefault="003A2790" w:rsidP="003A2790">
      <w:pPr>
        <w:pStyle w:val="texto"/>
        <w:rPr>
          <w:spacing w:val="4"/>
        </w:rPr>
      </w:pPr>
      <w:r w:rsidRPr="001A4A78">
        <w:rPr>
          <w:spacing w:val="4"/>
        </w:rPr>
        <w:t xml:space="preserve">Nuestra revisión ha consistido en verificar, mediante pruebas selectivas y la aplicación de los procedimientos </w:t>
      </w:r>
      <w:r w:rsidRPr="001A4A78">
        <w:rPr>
          <w:spacing w:val="4"/>
          <w:szCs w:val="26"/>
        </w:rPr>
        <w:t>técnicos considerados necesarios, el cumpl</w:t>
      </w:r>
      <w:r w:rsidRPr="001A4A78">
        <w:rPr>
          <w:spacing w:val="4"/>
          <w:szCs w:val="26"/>
        </w:rPr>
        <w:t>i</w:t>
      </w:r>
      <w:r w:rsidRPr="001A4A78">
        <w:rPr>
          <w:spacing w:val="4"/>
          <w:szCs w:val="26"/>
        </w:rPr>
        <w:t>miento de los aspectos relevantes establecidos en la normativa sobre prescripción de deudas.</w:t>
      </w:r>
      <w:r w:rsidRPr="001A4A78">
        <w:rPr>
          <w:spacing w:val="4"/>
        </w:rPr>
        <w:t xml:space="preserve"> Los procedimientos seleccionados dependen del juicio del auditor, incluida la valoración de los riesgos tanto de incorrección material en su registro contable como de incumplimientos significativos de la citada normativa.</w:t>
      </w:r>
    </w:p>
    <w:p w:rsidR="003A2790" w:rsidRDefault="003A2790" w:rsidP="002A7EB4">
      <w:pPr>
        <w:pStyle w:val="texto"/>
      </w:pPr>
      <w:r w:rsidRPr="004F32B1">
        <w:t>Consideramos que la evidencia de auditoría que hemos obtenido proporciona una base suficiente y adecuada para nuestra opinión</w:t>
      </w:r>
      <w:r w:rsidR="002A7EB4">
        <w:t xml:space="preserve"> no modificada</w:t>
      </w:r>
      <w:r w:rsidRPr="004F32B1">
        <w:t xml:space="preserve"> de </w:t>
      </w:r>
      <w:r w:rsidR="002A7EB4">
        <w:t xml:space="preserve">la </w:t>
      </w:r>
      <w:r>
        <w:t>fisc</w:t>
      </w:r>
      <w:r>
        <w:t>a</w:t>
      </w:r>
      <w:r>
        <w:t>lización</w:t>
      </w:r>
      <w:r w:rsidR="002A7EB4">
        <w:t xml:space="preserve"> </w:t>
      </w:r>
      <w:r>
        <w:t>de cumplimiento de legalidad</w:t>
      </w:r>
      <w:r w:rsidR="002A7EB4">
        <w:t>.</w:t>
      </w:r>
    </w:p>
    <w:p w:rsidR="003A2790" w:rsidRPr="009D36F1" w:rsidRDefault="003A2790" w:rsidP="003A2790">
      <w:pPr>
        <w:pStyle w:val="atitulo3"/>
        <w:spacing w:after="120"/>
      </w:pPr>
      <w:bookmarkStart w:id="15" w:name="_Toc305415950"/>
      <w:bookmarkStart w:id="16" w:name="_Toc305480468"/>
      <w:bookmarkStart w:id="17" w:name="_Toc402180175"/>
      <w:bookmarkStart w:id="18" w:name="_Toc188167196"/>
      <w:bookmarkStart w:id="19" w:name="_Toc303592533"/>
      <w:bookmarkStart w:id="20" w:name="_Toc309383716"/>
      <w:bookmarkStart w:id="21" w:name="_Toc339016605"/>
      <w:r w:rsidRPr="009D36F1">
        <w:t>Opinión sobre cumplimiento</w:t>
      </w:r>
      <w:bookmarkEnd w:id="15"/>
      <w:bookmarkEnd w:id="16"/>
      <w:r w:rsidRPr="009D36F1">
        <w:t xml:space="preserve"> de legalidad</w:t>
      </w:r>
      <w:bookmarkEnd w:id="17"/>
    </w:p>
    <w:p w:rsidR="00044A08" w:rsidRPr="00A63248" w:rsidRDefault="003A2790" w:rsidP="00044A08">
      <w:pPr>
        <w:pStyle w:val="texto"/>
        <w:tabs>
          <w:tab w:val="clear" w:pos="2835"/>
          <w:tab w:val="clear" w:pos="3969"/>
          <w:tab w:val="clear" w:pos="5103"/>
          <w:tab w:val="clear" w:pos="6237"/>
          <w:tab w:val="clear" w:pos="7371"/>
        </w:tabs>
        <w:rPr>
          <w:szCs w:val="26"/>
        </w:rPr>
      </w:pPr>
      <w:r w:rsidRPr="00611F45">
        <w:rPr>
          <w:szCs w:val="26"/>
        </w:rPr>
        <w:t xml:space="preserve">En nuestra opinión, </w:t>
      </w:r>
      <w:r w:rsidR="00044A08">
        <w:rPr>
          <w:szCs w:val="26"/>
        </w:rPr>
        <w:t xml:space="preserve">las </w:t>
      </w:r>
      <w:r w:rsidR="00044A08" w:rsidRPr="00A63248">
        <w:rPr>
          <w:szCs w:val="26"/>
        </w:rPr>
        <w:t xml:space="preserve">prescripciones </w:t>
      </w:r>
      <w:r w:rsidR="00044A08">
        <w:rPr>
          <w:szCs w:val="26"/>
        </w:rPr>
        <w:t>analizadas</w:t>
      </w:r>
      <w:r w:rsidR="00044A08" w:rsidRPr="00A63248">
        <w:rPr>
          <w:szCs w:val="26"/>
        </w:rPr>
        <w:t xml:space="preserve"> </w:t>
      </w:r>
      <w:r w:rsidR="00044A08" w:rsidRPr="00611F45">
        <w:rPr>
          <w:szCs w:val="26"/>
        </w:rPr>
        <w:t>resultan conformes, en t</w:t>
      </w:r>
      <w:r w:rsidR="00044A08" w:rsidRPr="00611F45">
        <w:rPr>
          <w:szCs w:val="26"/>
        </w:rPr>
        <w:t>o</w:t>
      </w:r>
      <w:r w:rsidR="00044A08" w:rsidRPr="00611F45">
        <w:rPr>
          <w:szCs w:val="26"/>
        </w:rPr>
        <w:t xml:space="preserve">dos </w:t>
      </w:r>
      <w:r w:rsidR="00044A08">
        <w:rPr>
          <w:szCs w:val="26"/>
        </w:rPr>
        <w:t>sus</w:t>
      </w:r>
      <w:r w:rsidR="00044A08" w:rsidRPr="00611F45">
        <w:rPr>
          <w:szCs w:val="26"/>
        </w:rPr>
        <w:t xml:space="preserve"> aspectos significativos, con </w:t>
      </w:r>
      <w:r w:rsidR="00143E85">
        <w:rPr>
          <w:szCs w:val="26"/>
        </w:rPr>
        <w:t>su</w:t>
      </w:r>
      <w:r w:rsidR="00044A08" w:rsidRPr="00611F45">
        <w:rPr>
          <w:szCs w:val="26"/>
        </w:rPr>
        <w:t xml:space="preserve"> norm</w:t>
      </w:r>
      <w:r w:rsidR="00044A08">
        <w:rPr>
          <w:szCs w:val="26"/>
        </w:rPr>
        <w:t>ativa</w:t>
      </w:r>
      <w:r w:rsidR="00143E85">
        <w:rPr>
          <w:szCs w:val="26"/>
        </w:rPr>
        <w:t xml:space="preserve"> reguladora</w:t>
      </w:r>
      <w:r w:rsidR="00044A08" w:rsidRPr="00A63248">
        <w:rPr>
          <w:szCs w:val="26"/>
        </w:rPr>
        <w:t>, aportándose la documentación, trámites y procesos que las respaldan y justificándose razon</w:t>
      </w:r>
      <w:r w:rsidR="00044A08" w:rsidRPr="00A63248">
        <w:rPr>
          <w:szCs w:val="26"/>
        </w:rPr>
        <w:t>a</w:t>
      </w:r>
      <w:r w:rsidR="00044A08" w:rsidRPr="00A63248">
        <w:rPr>
          <w:szCs w:val="26"/>
        </w:rPr>
        <w:t xml:space="preserve">blemente sus causas. </w:t>
      </w:r>
    </w:p>
    <w:bookmarkEnd w:id="18"/>
    <w:bookmarkEnd w:id="19"/>
    <w:bookmarkEnd w:id="20"/>
    <w:bookmarkEnd w:id="21"/>
    <w:p w:rsidR="001C7C66" w:rsidRDefault="001C7C66">
      <w:pPr>
        <w:spacing w:after="0"/>
        <w:ind w:firstLine="0"/>
        <w:jc w:val="left"/>
        <w:rPr>
          <w:rFonts w:ascii="Arial" w:hAnsi="Arial"/>
          <w:b/>
          <w:color w:val="000000"/>
          <w:kern w:val="28"/>
          <w:sz w:val="25"/>
          <w:szCs w:val="26"/>
        </w:rPr>
      </w:pPr>
      <w:r>
        <w:br w:type="page"/>
      </w:r>
    </w:p>
    <w:p w:rsidR="00B43F89" w:rsidRDefault="001C7C66" w:rsidP="001C7C66">
      <w:pPr>
        <w:pStyle w:val="atitulo1"/>
      </w:pPr>
      <w:bookmarkStart w:id="22" w:name="_Toc465150105"/>
      <w:r>
        <w:lastRenderedPageBreak/>
        <w:t>V. Observaciones que no afectan a la opinión emitida y recomendaciones</w:t>
      </w:r>
      <w:bookmarkEnd w:id="22"/>
    </w:p>
    <w:p w:rsidR="002A5CCD" w:rsidRPr="002A5CCD" w:rsidRDefault="002A5CCD" w:rsidP="002A5CCD">
      <w:pPr>
        <w:pStyle w:val="atitulo2"/>
      </w:pPr>
      <w:bookmarkStart w:id="23" w:name="_Toc465150106"/>
      <w:r>
        <w:t>V</w:t>
      </w:r>
      <w:r w:rsidRPr="002A5CCD">
        <w:t>.1. Observaciones que no afectan a la opinión de cumplimiento</w:t>
      </w:r>
      <w:bookmarkEnd w:id="23"/>
    </w:p>
    <w:p w:rsidR="00750FCC" w:rsidRPr="00A63248" w:rsidRDefault="00750FCC" w:rsidP="00B43F89">
      <w:pPr>
        <w:pStyle w:val="texto"/>
        <w:tabs>
          <w:tab w:val="clear" w:pos="2835"/>
          <w:tab w:val="clear" w:pos="3969"/>
          <w:tab w:val="clear" w:pos="5103"/>
          <w:tab w:val="clear" w:pos="6237"/>
          <w:tab w:val="clear" w:pos="7371"/>
        </w:tabs>
        <w:rPr>
          <w:szCs w:val="26"/>
        </w:rPr>
      </w:pPr>
      <w:r w:rsidRPr="00A63248">
        <w:rPr>
          <w:szCs w:val="26"/>
        </w:rPr>
        <w:t xml:space="preserve">De la revisión </w:t>
      </w:r>
      <w:r w:rsidR="00EA3404" w:rsidRPr="00A63248">
        <w:rPr>
          <w:szCs w:val="26"/>
        </w:rPr>
        <w:t>efectuada</w:t>
      </w:r>
      <w:r w:rsidR="00AA21BD" w:rsidRPr="00A63248">
        <w:rPr>
          <w:szCs w:val="26"/>
        </w:rPr>
        <w:t xml:space="preserve"> sobre una muestra de prescripciones</w:t>
      </w:r>
      <w:r w:rsidR="00EA3404" w:rsidRPr="00A63248">
        <w:rPr>
          <w:szCs w:val="26"/>
        </w:rPr>
        <w:t xml:space="preserve"> y</w:t>
      </w:r>
      <w:r w:rsidRPr="00A63248">
        <w:rPr>
          <w:szCs w:val="26"/>
        </w:rPr>
        <w:t xml:space="preserve"> del análisis de los procedimientos aplicados por la HTN, se derivan las siguientes concl</w:t>
      </w:r>
      <w:r w:rsidRPr="00A63248">
        <w:rPr>
          <w:szCs w:val="26"/>
        </w:rPr>
        <w:t>u</w:t>
      </w:r>
      <w:r w:rsidRPr="00A63248">
        <w:rPr>
          <w:szCs w:val="26"/>
        </w:rPr>
        <w:t>siones:</w:t>
      </w:r>
    </w:p>
    <w:p w:rsidR="00750FCC" w:rsidRPr="00A63248" w:rsidRDefault="00750FCC" w:rsidP="00B43F89">
      <w:pPr>
        <w:pStyle w:val="texto"/>
        <w:tabs>
          <w:tab w:val="clear" w:pos="2835"/>
          <w:tab w:val="clear" w:pos="3969"/>
          <w:tab w:val="clear" w:pos="5103"/>
          <w:tab w:val="clear" w:pos="6237"/>
          <w:tab w:val="clear" w:pos="7371"/>
        </w:tabs>
        <w:rPr>
          <w:szCs w:val="26"/>
        </w:rPr>
      </w:pPr>
      <w:r w:rsidRPr="001A4A78">
        <w:rPr>
          <w:b/>
          <w:szCs w:val="26"/>
        </w:rPr>
        <w:t>1</w:t>
      </w:r>
      <w:r w:rsidR="001A4A78" w:rsidRPr="001A4A78">
        <w:rPr>
          <w:b/>
          <w:szCs w:val="26"/>
        </w:rPr>
        <w:t>.</w:t>
      </w:r>
      <w:r w:rsidRPr="001A4A78">
        <w:rPr>
          <w:b/>
          <w:szCs w:val="26"/>
        </w:rPr>
        <w:t>ª</w:t>
      </w:r>
      <w:r w:rsidRPr="00A63248">
        <w:rPr>
          <w:szCs w:val="26"/>
        </w:rPr>
        <w:t xml:space="preserve"> La gestión de recaudación en los procedimientos especiales </w:t>
      </w:r>
      <w:r w:rsidR="004E0E58" w:rsidRPr="00A63248">
        <w:rPr>
          <w:szCs w:val="26"/>
        </w:rPr>
        <w:t>y de recaud</w:t>
      </w:r>
      <w:r w:rsidR="004E0E58" w:rsidRPr="00A63248">
        <w:rPr>
          <w:szCs w:val="26"/>
        </w:rPr>
        <w:t>a</w:t>
      </w:r>
      <w:r w:rsidR="004E0E58" w:rsidRPr="00A63248">
        <w:rPr>
          <w:szCs w:val="26"/>
        </w:rPr>
        <w:t xml:space="preserve">ción ejecutiva </w:t>
      </w:r>
      <w:r w:rsidRPr="00A63248">
        <w:rPr>
          <w:szCs w:val="26"/>
        </w:rPr>
        <w:t>es compleja, dilatada en el tiempo</w:t>
      </w:r>
      <w:r w:rsidR="004E0E58" w:rsidRPr="00A63248">
        <w:rPr>
          <w:szCs w:val="26"/>
        </w:rPr>
        <w:t>, exige una importe dedicación de personal y precisa documentación y procedimientos muy prolijos.</w:t>
      </w:r>
      <w:r w:rsidRPr="00A63248">
        <w:rPr>
          <w:szCs w:val="26"/>
        </w:rPr>
        <w:t xml:space="preserve"> </w:t>
      </w:r>
    </w:p>
    <w:p w:rsidR="004E0E58" w:rsidRPr="00A63248" w:rsidRDefault="004E0E58" w:rsidP="00B43F89">
      <w:pPr>
        <w:pStyle w:val="texto"/>
        <w:tabs>
          <w:tab w:val="clear" w:pos="2835"/>
          <w:tab w:val="clear" w:pos="3969"/>
          <w:tab w:val="clear" w:pos="5103"/>
          <w:tab w:val="clear" w:pos="6237"/>
          <w:tab w:val="clear" w:pos="7371"/>
        </w:tabs>
        <w:rPr>
          <w:szCs w:val="26"/>
        </w:rPr>
      </w:pPr>
      <w:r w:rsidRPr="00A63248">
        <w:rPr>
          <w:szCs w:val="26"/>
        </w:rPr>
        <w:t xml:space="preserve">Los procedimientos en la </w:t>
      </w:r>
      <w:r w:rsidR="009441F8">
        <w:rPr>
          <w:szCs w:val="26"/>
        </w:rPr>
        <w:t>S</w:t>
      </w:r>
      <w:r w:rsidRPr="00A63248">
        <w:rPr>
          <w:szCs w:val="26"/>
        </w:rPr>
        <w:t xml:space="preserve">ección de </w:t>
      </w:r>
      <w:r w:rsidR="009441F8">
        <w:rPr>
          <w:szCs w:val="26"/>
        </w:rPr>
        <w:t>R</w:t>
      </w:r>
      <w:r w:rsidRPr="00A63248">
        <w:rPr>
          <w:szCs w:val="26"/>
        </w:rPr>
        <w:t xml:space="preserve">ecaudación </w:t>
      </w:r>
      <w:r w:rsidR="009441F8">
        <w:rPr>
          <w:szCs w:val="26"/>
        </w:rPr>
        <w:t>E</w:t>
      </w:r>
      <w:r w:rsidRPr="00A63248">
        <w:rPr>
          <w:szCs w:val="26"/>
        </w:rPr>
        <w:t xml:space="preserve">jecutiva están </w:t>
      </w:r>
      <w:r w:rsidR="00D43C27" w:rsidRPr="00A63248">
        <w:rPr>
          <w:szCs w:val="26"/>
        </w:rPr>
        <w:t>más</w:t>
      </w:r>
      <w:r w:rsidRPr="00A63248">
        <w:rPr>
          <w:szCs w:val="26"/>
        </w:rPr>
        <w:t xml:space="preserve"> no</w:t>
      </w:r>
      <w:r w:rsidRPr="00A63248">
        <w:rPr>
          <w:szCs w:val="26"/>
        </w:rPr>
        <w:t>r</w:t>
      </w:r>
      <w:r w:rsidRPr="00A63248">
        <w:rPr>
          <w:szCs w:val="26"/>
        </w:rPr>
        <w:t xml:space="preserve">malizados, en tanto, que, en </w:t>
      </w:r>
      <w:r w:rsidR="009441F8">
        <w:rPr>
          <w:szCs w:val="26"/>
        </w:rPr>
        <w:t>P</w:t>
      </w:r>
      <w:r w:rsidRPr="00A63248">
        <w:rPr>
          <w:szCs w:val="26"/>
        </w:rPr>
        <w:t xml:space="preserve">rocedimientos </w:t>
      </w:r>
      <w:r w:rsidR="009441F8">
        <w:rPr>
          <w:szCs w:val="26"/>
        </w:rPr>
        <w:t>E</w:t>
      </w:r>
      <w:r w:rsidRPr="00A63248">
        <w:rPr>
          <w:szCs w:val="26"/>
        </w:rPr>
        <w:t>speciales –por su volumen y n</w:t>
      </w:r>
      <w:r w:rsidRPr="00A63248">
        <w:rPr>
          <w:szCs w:val="26"/>
        </w:rPr>
        <w:t>a</w:t>
      </w:r>
      <w:r w:rsidRPr="00A63248">
        <w:rPr>
          <w:szCs w:val="26"/>
        </w:rPr>
        <w:t>turaleza de las situaciones- exige un seguimiento más individualizado del de</w:t>
      </w:r>
      <w:r w:rsidRPr="00A63248">
        <w:rPr>
          <w:szCs w:val="26"/>
        </w:rPr>
        <w:t>u</w:t>
      </w:r>
      <w:r w:rsidRPr="00A63248">
        <w:rPr>
          <w:szCs w:val="26"/>
        </w:rPr>
        <w:t>dor.</w:t>
      </w:r>
    </w:p>
    <w:p w:rsidR="004E0E58" w:rsidRPr="00A63248" w:rsidRDefault="004E0E58" w:rsidP="00B43F89">
      <w:pPr>
        <w:pStyle w:val="texto"/>
        <w:tabs>
          <w:tab w:val="clear" w:pos="2835"/>
          <w:tab w:val="clear" w:pos="3969"/>
          <w:tab w:val="clear" w:pos="5103"/>
          <w:tab w:val="clear" w:pos="6237"/>
          <w:tab w:val="clear" w:pos="7371"/>
        </w:tabs>
        <w:rPr>
          <w:szCs w:val="26"/>
        </w:rPr>
      </w:pPr>
      <w:r w:rsidRPr="001A4A78">
        <w:rPr>
          <w:b/>
          <w:szCs w:val="26"/>
        </w:rPr>
        <w:t>2</w:t>
      </w:r>
      <w:r w:rsidR="001A4A78" w:rsidRPr="001A4A78">
        <w:rPr>
          <w:b/>
          <w:szCs w:val="26"/>
        </w:rPr>
        <w:t>.</w:t>
      </w:r>
      <w:r w:rsidRPr="001A4A78">
        <w:rPr>
          <w:b/>
          <w:szCs w:val="26"/>
        </w:rPr>
        <w:t>ª</w:t>
      </w:r>
      <w:r w:rsidRPr="00A63248">
        <w:rPr>
          <w:szCs w:val="26"/>
        </w:rPr>
        <w:t xml:space="preserve"> La </w:t>
      </w:r>
      <w:r w:rsidR="009441F8">
        <w:rPr>
          <w:szCs w:val="26"/>
        </w:rPr>
        <w:t>S</w:t>
      </w:r>
      <w:r w:rsidRPr="00A63248">
        <w:rPr>
          <w:szCs w:val="26"/>
        </w:rPr>
        <w:t xml:space="preserve">ección de </w:t>
      </w:r>
      <w:r w:rsidR="009441F8">
        <w:rPr>
          <w:szCs w:val="26"/>
        </w:rPr>
        <w:t>P</w:t>
      </w:r>
      <w:r w:rsidRPr="00A63248">
        <w:rPr>
          <w:szCs w:val="26"/>
        </w:rPr>
        <w:t xml:space="preserve">rocedimientos </w:t>
      </w:r>
      <w:r w:rsidR="009441F8">
        <w:rPr>
          <w:szCs w:val="26"/>
        </w:rPr>
        <w:t>E</w:t>
      </w:r>
      <w:r w:rsidRPr="00A63248">
        <w:rPr>
          <w:szCs w:val="26"/>
        </w:rPr>
        <w:t xml:space="preserve">speciales ha </w:t>
      </w:r>
      <w:r w:rsidR="00E91DB5" w:rsidRPr="00A63248">
        <w:rPr>
          <w:szCs w:val="26"/>
        </w:rPr>
        <w:t>aumentado</w:t>
      </w:r>
      <w:r w:rsidRPr="00A63248">
        <w:rPr>
          <w:szCs w:val="26"/>
        </w:rPr>
        <w:t xml:space="preserve"> su personal en el perio</w:t>
      </w:r>
      <w:r w:rsidR="00072413" w:rsidRPr="00A63248">
        <w:rPr>
          <w:szCs w:val="26"/>
        </w:rPr>
        <w:t xml:space="preserve">do analizado. Ahora bien, </w:t>
      </w:r>
      <w:r w:rsidRPr="00A63248">
        <w:rPr>
          <w:szCs w:val="26"/>
        </w:rPr>
        <w:t xml:space="preserve">ese periodo </w:t>
      </w:r>
      <w:r w:rsidR="00E91DB5" w:rsidRPr="00A63248">
        <w:rPr>
          <w:szCs w:val="26"/>
        </w:rPr>
        <w:t>está</w:t>
      </w:r>
      <w:r w:rsidRPr="00A63248">
        <w:rPr>
          <w:szCs w:val="26"/>
        </w:rPr>
        <w:t xml:space="preserve"> coincidi</w:t>
      </w:r>
      <w:r w:rsidR="00E91DB5" w:rsidRPr="00A63248">
        <w:rPr>
          <w:szCs w:val="26"/>
        </w:rPr>
        <w:t>endo</w:t>
      </w:r>
      <w:r w:rsidRPr="00A63248">
        <w:rPr>
          <w:szCs w:val="26"/>
        </w:rPr>
        <w:t xml:space="preserve"> con la crisis ec</w:t>
      </w:r>
      <w:r w:rsidRPr="00A63248">
        <w:rPr>
          <w:szCs w:val="26"/>
        </w:rPr>
        <w:t>o</w:t>
      </w:r>
      <w:r w:rsidRPr="00A63248">
        <w:rPr>
          <w:szCs w:val="26"/>
        </w:rPr>
        <w:t>nómica lo que ha afectado de forma relevante a la gestión tributaria al incr</w:t>
      </w:r>
      <w:r w:rsidRPr="00A63248">
        <w:rPr>
          <w:szCs w:val="26"/>
        </w:rPr>
        <w:t>e</w:t>
      </w:r>
      <w:r w:rsidRPr="00A63248">
        <w:rPr>
          <w:szCs w:val="26"/>
        </w:rPr>
        <w:t>mentarse las insolvencias, las liquidaciones de empresas y los concursos de acreedores. Igualmente debe hacer frente a la ingeniería tributaria y diversos entramados diseñados para el fraude.</w:t>
      </w:r>
    </w:p>
    <w:p w:rsidR="00D43C27" w:rsidRPr="00A63248" w:rsidRDefault="00D43C27" w:rsidP="00F307DB">
      <w:pPr>
        <w:pStyle w:val="texto"/>
        <w:tabs>
          <w:tab w:val="clear" w:pos="2835"/>
          <w:tab w:val="clear" w:pos="3969"/>
          <w:tab w:val="clear" w:pos="5103"/>
          <w:tab w:val="clear" w:pos="6237"/>
          <w:tab w:val="clear" w:pos="7371"/>
        </w:tabs>
        <w:rPr>
          <w:szCs w:val="26"/>
        </w:rPr>
      </w:pPr>
      <w:r w:rsidRPr="001A4A78">
        <w:rPr>
          <w:b/>
          <w:szCs w:val="26"/>
        </w:rPr>
        <w:t>3</w:t>
      </w:r>
      <w:r w:rsidR="001A4A78" w:rsidRPr="001A4A78">
        <w:rPr>
          <w:b/>
          <w:szCs w:val="26"/>
        </w:rPr>
        <w:t>.</w:t>
      </w:r>
      <w:r w:rsidRPr="001A4A78">
        <w:rPr>
          <w:b/>
          <w:szCs w:val="26"/>
        </w:rPr>
        <w:t>ª</w:t>
      </w:r>
      <w:r w:rsidR="00072413" w:rsidRPr="00A63248">
        <w:rPr>
          <w:szCs w:val="26"/>
        </w:rPr>
        <w:t xml:space="preserve"> </w:t>
      </w:r>
      <w:r w:rsidRPr="00A63248">
        <w:rPr>
          <w:szCs w:val="26"/>
        </w:rPr>
        <w:t xml:space="preserve">No existe un manual de procedimientos que detalle los pasos o ítems que afectan a la prescripción; no obstante, desde 2011 se iniciaron los trabajos de automatización de los procesos de tal manera que actualmente y mediante </w:t>
      </w:r>
      <w:r w:rsidR="009441F8">
        <w:rPr>
          <w:szCs w:val="26"/>
        </w:rPr>
        <w:t>pr</w:t>
      </w:r>
      <w:r w:rsidR="009441F8">
        <w:rPr>
          <w:szCs w:val="26"/>
        </w:rPr>
        <w:t>o</w:t>
      </w:r>
      <w:r w:rsidR="009441F8">
        <w:rPr>
          <w:szCs w:val="26"/>
        </w:rPr>
        <w:t>gramas informáticos se recogen</w:t>
      </w:r>
      <w:r w:rsidR="00E948E0">
        <w:rPr>
          <w:szCs w:val="26"/>
        </w:rPr>
        <w:t>,</w:t>
      </w:r>
      <w:r w:rsidR="009441F8">
        <w:rPr>
          <w:szCs w:val="26"/>
        </w:rPr>
        <w:t xml:space="preserve"> en una tabla de la base de datos de la HTN</w:t>
      </w:r>
      <w:r w:rsidRPr="00A63248">
        <w:rPr>
          <w:szCs w:val="26"/>
        </w:rPr>
        <w:t xml:space="preserve"> p</w:t>
      </w:r>
      <w:r w:rsidRPr="00A63248">
        <w:rPr>
          <w:szCs w:val="26"/>
        </w:rPr>
        <w:t>a</w:t>
      </w:r>
      <w:r w:rsidRPr="00A63248">
        <w:rPr>
          <w:szCs w:val="26"/>
        </w:rPr>
        <w:t>ra cada cuenta elemental</w:t>
      </w:r>
      <w:r w:rsidR="009441F8">
        <w:rPr>
          <w:szCs w:val="26"/>
        </w:rPr>
        <w:t>,</w:t>
      </w:r>
      <w:r w:rsidRPr="00A63248">
        <w:rPr>
          <w:szCs w:val="26"/>
        </w:rPr>
        <w:t xml:space="preserve"> todas las </w:t>
      </w:r>
      <w:r w:rsidR="00181E9C">
        <w:rPr>
          <w:szCs w:val="26"/>
        </w:rPr>
        <w:t>acciones e</w:t>
      </w:r>
      <w:r w:rsidRPr="00A63248">
        <w:rPr>
          <w:szCs w:val="26"/>
        </w:rPr>
        <w:t>ncaminadas a interrumpir</w:t>
      </w:r>
      <w:r w:rsidR="00F307DB" w:rsidRPr="00A63248">
        <w:rPr>
          <w:szCs w:val="26"/>
        </w:rPr>
        <w:t xml:space="preserve"> y/o abrir</w:t>
      </w:r>
      <w:r w:rsidRPr="00A63248">
        <w:rPr>
          <w:szCs w:val="26"/>
        </w:rPr>
        <w:t xml:space="preserve"> la prescripción</w:t>
      </w:r>
      <w:r w:rsidR="00181E9C">
        <w:rPr>
          <w:szCs w:val="26"/>
        </w:rPr>
        <w:t>; esta automatización</w:t>
      </w:r>
      <w:r w:rsidRPr="00A63248">
        <w:rPr>
          <w:szCs w:val="26"/>
        </w:rPr>
        <w:t xml:space="preserve"> </w:t>
      </w:r>
      <w:r w:rsidR="00181E9C">
        <w:rPr>
          <w:szCs w:val="26"/>
        </w:rPr>
        <w:t>permite</w:t>
      </w:r>
      <w:r w:rsidRPr="00A63248">
        <w:rPr>
          <w:szCs w:val="26"/>
        </w:rPr>
        <w:t xml:space="preserve"> una actuación más proactiva de la HTN</w:t>
      </w:r>
      <w:r w:rsidR="00F307DB" w:rsidRPr="00A63248">
        <w:rPr>
          <w:szCs w:val="26"/>
        </w:rPr>
        <w:t xml:space="preserve"> dado que a través de un campo de control se conoce la fecha de la última actuación que condiciona a la fecha de la prescripción</w:t>
      </w:r>
      <w:r w:rsidRPr="00A63248">
        <w:rPr>
          <w:szCs w:val="26"/>
        </w:rPr>
        <w:t xml:space="preserve">. </w:t>
      </w:r>
      <w:r w:rsidR="00F307DB" w:rsidRPr="00A63248">
        <w:rPr>
          <w:szCs w:val="26"/>
        </w:rPr>
        <w:t xml:space="preserve"> </w:t>
      </w:r>
      <w:r w:rsidRPr="00A63248">
        <w:rPr>
          <w:szCs w:val="26"/>
        </w:rPr>
        <w:t>Dicha tabla r</w:t>
      </w:r>
      <w:r w:rsidRPr="00A63248">
        <w:rPr>
          <w:szCs w:val="26"/>
        </w:rPr>
        <w:t>e</w:t>
      </w:r>
      <w:r w:rsidRPr="00A63248">
        <w:rPr>
          <w:szCs w:val="26"/>
        </w:rPr>
        <w:t>fleja todas las deudas no prescritas desde el 2011; las prescritas con anterior</w:t>
      </w:r>
      <w:r w:rsidRPr="00A63248">
        <w:rPr>
          <w:szCs w:val="26"/>
        </w:rPr>
        <w:t>i</w:t>
      </w:r>
      <w:r w:rsidRPr="00A63248">
        <w:rPr>
          <w:szCs w:val="26"/>
        </w:rPr>
        <w:t xml:space="preserve">dad a dicho año, solo están documentadas en archivo físico. </w:t>
      </w:r>
    </w:p>
    <w:p w:rsidR="00D43C27" w:rsidRPr="00A63248" w:rsidRDefault="00D43C27" w:rsidP="00D43C27">
      <w:pPr>
        <w:pStyle w:val="texto"/>
        <w:tabs>
          <w:tab w:val="clear" w:pos="2835"/>
          <w:tab w:val="clear" w:pos="3969"/>
          <w:tab w:val="clear" w:pos="5103"/>
          <w:tab w:val="clear" w:pos="6237"/>
          <w:tab w:val="clear" w:pos="7371"/>
        </w:tabs>
        <w:rPr>
          <w:szCs w:val="26"/>
        </w:rPr>
      </w:pPr>
      <w:r w:rsidRPr="00A63248">
        <w:rPr>
          <w:szCs w:val="26"/>
        </w:rPr>
        <w:t xml:space="preserve">Desde el </w:t>
      </w:r>
      <w:r w:rsidR="009441F8">
        <w:rPr>
          <w:szCs w:val="26"/>
        </w:rPr>
        <w:t>S</w:t>
      </w:r>
      <w:r w:rsidRPr="00A63248">
        <w:rPr>
          <w:szCs w:val="26"/>
        </w:rPr>
        <w:t>ervicio de Recaudación se ha elaborado un docume</w:t>
      </w:r>
      <w:r w:rsidR="00B02546" w:rsidRPr="00A63248">
        <w:rPr>
          <w:szCs w:val="26"/>
        </w:rPr>
        <w:t xml:space="preserve">nto que resume los distintos </w:t>
      </w:r>
      <w:r w:rsidRPr="00A63248">
        <w:rPr>
          <w:szCs w:val="26"/>
        </w:rPr>
        <w:t>tipos de actuación de la administración que quedan reflejadas en dicha tabla</w:t>
      </w:r>
      <w:r w:rsidR="009441F8">
        <w:rPr>
          <w:szCs w:val="26"/>
        </w:rPr>
        <w:t xml:space="preserve"> y detalla el procedimiento para la declaración de la prescripción de las deudas, estando incluido en el repositorio de documentación de procesos de la HTN.</w:t>
      </w:r>
      <w:r w:rsidRPr="00A63248">
        <w:rPr>
          <w:szCs w:val="26"/>
        </w:rPr>
        <w:t xml:space="preserve"> </w:t>
      </w:r>
    </w:p>
    <w:p w:rsidR="00C8719E" w:rsidRPr="00A63248" w:rsidRDefault="00C8719E" w:rsidP="00B43F89">
      <w:pPr>
        <w:pStyle w:val="texto"/>
        <w:tabs>
          <w:tab w:val="clear" w:pos="2835"/>
          <w:tab w:val="clear" w:pos="3969"/>
          <w:tab w:val="clear" w:pos="5103"/>
          <w:tab w:val="clear" w:pos="6237"/>
          <w:tab w:val="clear" w:pos="7371"/>
        </w:tabs>
        <w:rPr>
          <w:szCs w:val="26"/>
        </w:rPr>
      </w:pPr>
      <w:r w:rsidRPr="001A4A78">
        <w:rPr>
          <w:b/>
          <w:szCs w:val="26"/>
        </w:rPr>
        <w:t>4</w:t>
      </w:r>
      <w:r w:rsidR="001A4A78" w:rsidRPr="001A4A78">
        <w:rPr>
          <w:b/>
          <w:szCs w:val="26"/>
        </w:rPr>
        <w:t>.</w:t>
      </w:r>
      <w:r w:rsidRPr="001A4A78">
        <w:rPr>
          <w:b/>
          <w:szCs w:val="26"/>
        </w:rPr>
        <w:t xml:space="preserve">ª </w:t>
      </w:r>
      <w:r w:rsidRPr="00A63248">
        <w:rPr>
          <w:szCs w:val="26"/>
        </w:rPr>
        <w:t>De ese trabajo de revisión además destacamos los siguientes aspectos</w:t>
      </w:r>
      <w:r w:rsidR="00C6512D" w:rsidRPr="00A63248">
        <w:rPr>
          <w:szCs w:val="26"/>
        </w:rPr>
        <w:t xml:space="preserve"> de la gestión recaudatoria y por extensión de las prescripciones</w:t>
      </w:r>
      <w:r w:rsidRPr="00A63248">
        <w:rPr>
          <w:szCs w:val="26"/>
        </w:rPr>
        <w:t>:</w:t>
      </w:r>
    </w:p>
    <w:p w:rsidR="00AC5A5C" w:rsidRDefault="007230BE" w:rsidP="00705B8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rPr>
          <w:szCs w:val="26"/>
        </w:rPr>
      </w:pPr>
      <w:r w:rsidRPr="00A63248">
        <w:rPr>
          <w:szCs w:val="26"/>
        </w:rPr>
        <w:t xml:space="preserve"> </w:t>
      </w:r>
      <w:r w:rsidR="00072413" w:rsidRPr="00A63248">
        <w:rPr>
          <w:szCs w:val="26"/>
        </w:rPr>
        <w:t>La falta de desarrollo del artículo 17 de la LFHP sobre derechos económ</w:t>
      </w:r>
      <w:r w:rsidR="00072413" w:rsidRPr="00A63248">
        <w:rPr>
          <w:szCs w:val="26"/>
        </w:rPr>
        <w:t>i</w:t>
      </w:r>
      <w:r w:rsidR="00072413" w:rsidRPr="00A63248">
        <w:rPr>
          <w:szCs w:val="26"/>
        </w:rPr>
        <w:t xml:space="preserve">cos de </w:t>
      </w:r>
      <w:r w:rsidR="00072413" w:rsidRPr="00A63248">
        <w:rPr>
          <w:b/>
          <w:szCs w:val="26"/>
        </w:rPr>
        <w:t>baja cuantía</w:t>
      </w:r>
      <w:r w:rsidR="00072413" w:rsidRPr="00A63248">
        <w:rPr>
          <w:szCs w:val="26"/>
        </w:rPr>
        <w:t xml:space="preserve"> </w:t>
      </w:r>
      <w:r w:rsidR="000C3C0D" w:rsidRPr="00A63248">
        <w:rPr>
          <w:szCs w:val="26"/>
        </w:rPr>
        <w:t xml:space="preserve">que permita su prescripción o baja de la deuda </w:t>
      </w:r>
      <w:r w:rsidR="00072413" w:rsidRPr="00A63248">
        <w:rPr>
          <w:szCs w:val="26"/>
        </w:rPr>
        <w:t>está dificu</w:t>
      </w:r>
      <w:r w:rsidR="00072413" w:rsidRPr="00A63248">
        <w:rPr>
          <w:szCs w:val="26"/>
        </w:rPr>
        <w:t>l</w:t>
      </w:r>
      <w:r w:rsidR="00072413" w:rsidRPr="00A63248">
        <w:rPr>
          <w:szCs w:val="26"/>
        </w:rPr>
        <w:t>tando la gestión recaudatoria dado que exige la liquidación de deudas cuyo co</w:t>
      </w:r>
      <w:r w:rsidR="00072413" w:rsidRPr="00A63248">
        <w:rPr>
          <w:szCs w:val="26"/>
        </w:rPr>
        <w:t>s</w:t>
      </w:r>
      <w:r w:rsidR="00072413" w:rsidRPr="00A63248">
        <w:rPr>
          <w:szCs w:val="26"/>
        </w:rPr>
        <w:lastRenderedPageBreak/>
        <w:t>te de exacción y recaudación es muy superior a la propia deuda tributaria.</w:t>
      </w:r>
      <w:r w:rsidR="00464B43" w:rsidRPr="00A63248">
        <w:rPr>
          <w:szCs w:val="26"/>
        </w:rPr>
        <w:t xml:space="preserve"> Es decir, sería conveniente regular la liquidación de recargos e intereses de dem</w:t>
      </w:r>
      <w:r w:rsidR="00464B43" w:rsidRPr="00A63248">
        <w:rPr>
          <w:szCs w:val="26"/>
        </w:rPr>
        <w:t>o</w:t>
      </w:r>
      <w:r w:rsidR="00464B43" w:rsidRPr="00A63248">
        <w:rPr>
          <w:szCs w:val="26"/>
        </w:rPr>
        <w:t>ra y el embargo de deudas inferiores a una determinada cuantía.</w:t>
      </w:r>
    </w:p>
    <w:p w:rsidR="00CA0C18" w:rsidRPr="00A63248" w:rsidRDefault="00CA0C18" w:rsidP="00CA0C18">
      <w:pPr>
        <w:pStyle w:val="texto"/>
        <w:tabs>
          <w:tab w:val="clear" w:pos="2835"/>
          <w:tab w:val="clear" w:pos="3969"/>
          <w:tab w:val="clear" w:pos="5103"/>
          <w:tab w:val="clear" w:pos="6237"/>
          <w:tab w:val="clear" w:pos="7371"/>
        </w:tabs>
        <w:spacing w:after="180"/>
        <w:rPr>
          <w:szCs w:val="26"/>
        </w:rPr>
      </w:pPr>
      <w:r>
        <w:rPr>
          <w:szCs w:val="26"/>
        </w:rPr>
        <w:t>Como se ha comentado previamente, en la actualidad se está tramitando una orden foral de desarrollo de ese artículo, estando prevista su entrada en vigor en 2017.</w:t>
      </w:r>
    </w:p>
    <w:p w:rsidR="005B6A82" w:rsidRPr="00A63248" w:rsidRDefault="005B6A82" w:rsidP="00705B89">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spacing w:after="240"/>
        <w:ind w:left="0" w:firstLine="289"/>
        <w:rPr>
          <w:spacing w:val="4"/>
          <w:szCs w:val="26"/>
        </w:rPr>
      </w:pPr>
      <w:r w:rsidRPr="00A63248">
        <w:rPr>
          <w:szCs w:val="26"/>
        </w:rPr>
        <w:t xml:space="preserve"> Deuda declarada </w:t>
      </w:r>
      <w:r w:rsidRPr="00A63248">
        <w:rPr>
          <w:b/>
          <w:szCs w:val="26"/>
        </w:rPr>
        <w:t>provisionalmente incobrable</w:t>
      </w:r>
      <w:r w:rsidRPr="00A63248">
        <w:rPr>
          <w:szCs w:val="26"/>
        </w:rPr>
        <w:t xml:space="preserve">. La normativa establece que las deudas que no hayan podido ser efectivas por haber sido declarados </w:t>
      </w:r>
      <w:r w:rsidR="00E65CEC" w:rsidRPr="00A63248">
        <w:rPr>
          <w:szCs w:val="26"/>
        </w:rPr>
        <w:t>i</w:t>
      </w:r>
      <w:r w:rsidR="00E65CEC" w:rsidRPr="00A63248">
        <w:rPr>
          <w:szCs w:val="26"/>
        </w:rPr>
        <w:t>n</w:t>
      </w:r>
      <w:r w:rsidR="00E65CEC" w:rsidRPr="00A63248">
        <w:rPr>
          <w:szCs w:val="26"/>
        </w:rPr>
        <w:t>solventes</w:t>
      </w:r>
      <w:r w:rsidRPr="00A63248">
        <w:rPr>
          <w:szCs w:val="26"/>
        </w:rPr>
        <w:t xml:space="preserve"> los obligados al pago y, </w:t>
      </w:r>
      <w:r w:rsidRPr="00A63248">
        <w:rPr>
          <w:spacing w:val="4"/>
          <w:szCs w:val="26"/>
        </w:rPr>
        <w:t>en su caso, sus responsables, se declaran pr</w:t>
      </w:r>
      <w:r w:rsidRPr="00A63248">
        <w:rPr>
          <w:spacing w:val="4"/>
          <w:szCs w:val="26"/>
        </w:rPr>
        <w:t>o</w:t>
      </w:r>
      <w:r w:rsidRPr="00A63248">
        <w:rPr>
          <w:spacing w:val="4"/>
          <w:szCs w:val="26"/>
        </w:rPr>
        <w:t>visionalmente incobrables, en tanto no se rehabiliten dentro del plazo de pre</w:t>
      </w:r>
      <w:r w:rsidRPr="00A63248">
        <w:rPr>
          <w:spacing w:val="4"/>
          <w:szCs w:val="26"/>
        </w:rPr>
        <w:t>s</w:t>
      </w:r>
      <w:r w:rsidRPr="00A63248">
        <w:rPr>
          <w:spacing w:val="4"/>
          <w:szCs w:val="26"/>
        </w:rPr>
        <w:t>cripción o venza dicho plazo.</w:t>
      </w:r>
    </w:p>
    <w:p w:rsidR="005B6A82" w:rsidRPr="00A63248" w:rsidRDefault="005B6A82" w:rsidP="001A4A78">
      <w:pPr>
        <w:pStyle w:val="texto"/>
        <w:tabs>
          <w:tab w:val="clear" w:pos="2835"/>
          <w:tab w:val="clear" w:pos="3969"/>
          <w:tab w:val="clear" w:pos="5103"/>
          <w:tab w:val="clear" w:pos="6237"/>
          <w:tab w:val="clear" w:pos="7371"/>
        </w:tabs>
        <w:spacing w:after="180"/>
        <w:rPr>
          <w:szCs w:val="26"/>
        </w:rPr>
      </w:pPr>
      <w:r w:rsidRPr="00A63248">
        <w:rPr>
          <w:szCs w:val="26"/>
        </w:rPr>
        <w:t xml:space="preserve">En el periodo de 2010 a 2015 se han declarado incobrables un total de </w:t>
      </w:r>
      <w:r w:rsidR="001602E6" w:rsidRPr="00A63248">
        <w:rPr>
          <w:szCs w:val="26"/>
        </w:rPr>
        <w:t xml:space="preserve">286,85 millones que corresponden a </w:t>
      </w:r>
      <w:r w:rsidRPr="00A63248">
        <w:rPr>
          <w:szCs w:val="26"/>
        </w:rPr>
        <w:t>38.922 deu</w:t>
      </w:r>
      <w:r w:rsidR="001602E6" w:rsidRPr="00A63248">
        <w:rPr>
          <w:szCs w:val="26"/>
        </w:rPr>
        <w:t>dores</w:t>
      </w:r>
      <w:r w:rsidRPr="00A63248">
        <w:rPr>
          <w:szCs w:val="26"/>
        </w:rPr>
        <w:t>, de acuerdo con el s</w:t>
      </w:r>
      <w:r w:rsidRPr="00A63248">
        <w:rPr>
          <w:szCs w:val="26"/>
        </w:rPr>
        <w:t>i</w:t>
      </w:r>
      <w:r w:rsidRPr="00A63248">
        <w:rPr>
          <w:szCs w:val="26"/>
        </w:rPr>
        <w:t>guiente detalle:</w:t>
      </w:r>
    </w:p>
    <w:tbl>
      <w:tblPr>
        <w:tblW w:w="8824" w:type="dxa"/>
        <w:jc w:val="center"/>
        <w:tblCellMar>
          <w:left w:w="70" w:type="dxa"/>
          <w:right w:w="70" w:type="dxa"/>
        </w:tblCellMar>
        <w:tblLook w:val="04A0" w:firstRow="1" w:lastRow="0" w:firstColumn="1" w:lastColumn="0" w:noHBand="0" w:noVBand="1"/>
      </w:tblPr>
      <w:tblGrid>
        <w:gridCol w:w="18"/>
        <w:gridCol w:w="4979"/>
        <w:gridCol w:w="2126"/>
        <w:gridCol w:w="1701"/>
      </w:tblGrid>
      <w:tr w:rsidR="005B6A82" w:rsidRPr="00B81482" w:rsidTr="001A4A78">
        <w:trPr>
          <w:trHeight w:val="255"/>
          <w:jc w:val="center"/>
        </w:trPr>
        <w:tc>
          <w:tcPr>
            <w:tcW w:w="4997" w:type="dxa"/>
            <w:gridSpan w:val="2"/>
            <w:tcBorders>
              <w:top w:val="single" w:sz="4" w:space="0" w:color="auto"/>
              <w:bottom w:val="single" w:sz="4" w:space="0" w:color="auto"/>
            </w:tcBorders>
            <w:shd w:val="clear" w:color="auto" w:fill="A8CBEE" w:themeFill="accent2" w:themeFillTint="66"/>
            <w:noWrap/>
            <w:vAlign w:val="center"/>
            <w:hideMark/>
          </w:tcPr>
          <w:p w:rsidR="005B6A82" w:rsidRPr="00B81482" w:rsidRDefault="005B6A82" w:rsidP="00A31857">
            <w:pPr>
              <w:spacing w:after="0"/>
              <w:ind w:firstLine="0"/>
              <w:jc w:val="left"/>
              <w:rPr>
                <w:rFonts w:ascii="Arial" w:hAnsi="Arial" w:cs="Arial"/>
                <w:bCs/>
                <w:color w:val="000000"/>
                <w:sz w:val="18"/>
                <w:szCs w:val="18"/>
                <w:lang w:val="es-ES" w:eastAsia="es-ES"/>
              </w:rPr>
            </w:pPr>
            <w:r w:rsidRPr="00B81482">
              <w:rPr>
                <w:rFonts w:ascii="Arial" w:hAnsi="Arial" w:cs="Arial"/>
                <w:bCs/>
                <w:color w:val="000000"/>
                <w:sz w:val="18"/>
                <w:szCs w:val="18"/>
                <w:lang w:val="es-ES" w:eastAsia="es-ES"/>
              </w:rPr>
              <w:t>Ejercicio</w:t>
            </w:r>
          </w:p>
        </w:tc>
        <w:tc>
          <w:tcPr>
            <w:tcW w:w="2126" w:type="dxa"/>
            <w:tcBorders>
              <w:top w:val="single" w:sz="4" w:space="0" w:color="auto"/>
              <w:bottom w:val="single" w:sz="4" w:space="0" w:color="auto"/>
            </w:tcBorders>
            <w:shd w:val="clear" w:color="auto" w:fill="A8CBEE" w:themeFill="accent2" w:themeFillTint="66"/>
            <w:vAlign w:val="center"/>
          </w:tcPr>
          <w:p w:rsidR="005B6A82" w:rsidRPr="00B81482" w:rsidRDefault="005B6A82" w:rsidP="00B81482">
            <w:pPr>
              <w:spacing w:after="0"/>
              <w:ind w:firstLine="0"/>
              <w:jc w:val="right"/>
              <w:rPr>
                <w:rFonts w:ascii="Arial" w:hAnsi="Arial" w:cs="Arial"/>
                <w:bCs/>
                <w:color w:val="000000"/>
                <w:sz w:val="18"/>
                <w:szCs w:val="18"/>
                <w:lang w:val="es-ES" w:eastAsia="es-ES"/>
              </w:rPr>
            </w:pPr>
            <w:r w:rsidRPr="00B81482">
              <w:rPr>
                <w:rFonts w:ascii="Arial" w:hAnsi="Arial" w:cs="Arial"/>
                <w:bCs/>
                <w:color w:val="000000"/>
                <w:sz w:val="18"/>
                <w:szCs w:val="18"/>
                <w:lang w:val="es-ES" w:eastAsia="es-ES"/>
              </w:rPr>
              <w:t>Número de deudores</w:t>
            </w:r>
          </w:p>
        </w:tc>
        <w:tc>
          <w:tcPr>
            <w:tcW w:w="1701" w:type="dxa"/>
            <w:tcBorders>
              <w:top w:val="single" w:sz="4" w:space="0" w:color="auto"/>
              <w:bottom w:val="single" w:sz="4" w:space="0" w:color="auto"/>
            </w:tcBorders>
            <w:shd w:val="clear" w:color="auto" w:fill="A8CBEE" w:themeFill="accent2" w:themeFillTint="66"/>
            <w:vAlign w:val="center"/>
          </w:tcPr>
          <w:p w:rsidR="005B6A82" w:rsidRPr="00B81482" w:rsidRDefault="005B6A82" w:rsidP="00B81482">
            <w:pPr>
              <w:spacing w:after="0"/>
              <w:ind w:firstLine="0"/>
              <w:jc w:val="right"/>
              <w:rPr>
                <w:rFonts w:ascii="Arial" w:hAnsi="Arial" w:cs="Arial"/>
                <w:bCs/>
                <w:color w:val="000000"/>
                <w:sz w:val="18"/>
                <w:szCs w:val="18"/>
                <w:lang w:val="es-ES" w:eastAsia="es-ES"/>
              </w:rPr>
            </w:pPr>
            <w:r w:rsidRPr="00B81482">
              <w:rPr>
                <w:rFonts w:ascii="Arial" w:hAnsi="Arial" w:cs="Arial"/>
                <w:bCs/>
                <w:color w:val="000000"/>
                <w:sz w:val="18"/>
                <w:szCs w:val="18"/>
                <w:lang w:val="es-ES" w:eastAsia="es-ES"/>
              </w:rPr>
              <w:t>Importe</w:t>
            </w:r>
          </w:p>
        </w:tc>
      </w:tr>
      <w:tr w:rsidR="005B6A82" w:rsidRPr="009358AD" w:rsidTr="001A4A78">
        <w:trPr>
          <w:gridBefore w:val="1"/>
          <w:wBefore w:w="18" w:type="dxa"/>
          <w:trHeight w:val="255"/>
          <w:jc w:val="center"/>
        </w:trPr>
        <w:tc>
          <w:tcPr>
            <w:tcW w:w="4979" w:type="dxa"/>
            <w:shd w:val="clear" w:color="auto" w:fill="auto"/>
            <w:noWrap/>
            <w:vAlign w:val="center"/>
            <w:hideMark/>
          </w:tcPr>
          <w:p w:rsidR="005B6A82" w:rsidRPr="004E2FAA" w:rsidRDefault="005B6A82" w:rsidP="004E2FAA">
            <w:pPr>
              <w:pStyle w:val="cuatexto"/>
              <w:jc w:val="left"/>
            </w:pPr>
            <w:r w:rsidRPr="004E2FAA">
              <w:t>2010</w:t>
            </w:r>
          </w:p>
        </w:tc>
        <w:tc>
          <w:tcPr>
            <w:tcW w:w="2126" w:type="dxa"/>
            <w:vAlign w:val="center"/>
          </w:tcPr>
          <w:p w:rsidR="005B6A82" w:rsidRPr="004E2FAA" w:rsidRDefault="005B6A82" w:rsidP="00B81482">
            <w:pPr>
              <w:pStyle w:val="cuatexto"/>
              <w:jc w:val="right"/>
            </w:pPr>
            <w:r w:rsidRPr="004E2FAA">
              <w:t>3.644</w:t>
            </w:r>
          </w:p>
        </w:tc>
        <w:tc>
          <w:tcPr>
            <w:tcW w:w="1701" w:type="dxa"/>
            <w:vAlign w:val="center"/>
          </w:tcPr>
          <w:p w:rsidR="005B6A82" w:rsidRPr="004E2FAA" w:rsidRDefault="005B6A82" w:rsidP="00B81482">
            <w:pPr>
              <w:pStyle w:val="cuatexto"/>
              <w:jc w:val="right"/>
            </w:pPr>
            <w:r w:rsidRPr="004E2FAA">
              <w:t>75.820.557</w:t>
            </w:r>
          </w:p>
        </w:tc>
      </w:tr>
      <w:tr w:rsidR="005B6A82" w:rsidRPr="009358AD" w:rsidTr="001A4A78">
        <w:trPr>
          <w:trHeight w:val="255"/>
          <w:jc w:val="center"/>
        </w:trPr>
        <w:tc>
          <w:tcPr>
            <w:tcW w:w="4997" w:type="dxa"/>
            <w:gridSpan w:val="2"/>
            <w:tcBorders>
              <w:top w:val="single" w:sz="2" w:space="0" w:color="auto"/>
              <w:bottom w:val="single" w:sz="2" w:space="0" w:color="auto"/>
            </w:tcBorders>
            <w:shd w:val="clear" w:color="auto" w:fill="auto"/>
            <w:noWrap/>
            <w:vAlign w:val="center"/>
            <w:hideMark/>
          </w:tcPr>
          <w:p w:rsidR="005B6A82" w:rsidRPr="004E2FAA" w:rsidRDefault="005B6A82" w:rsidP="004E2FAA">
            <w:pPr>
              <w:pStyle w:val="cuatexto"/>
              <w:jc w:val="left"/>
            </w:pPr>
            <w:r w:rsidRPr="004E2FAA">
              <w:t>2011</w:t>
            </w:r>
          </w:p>
        </w:tc>
        <w:tc>
          <w:tcPr>
            <w:tcW w:w="2126" w:type="dxa"/>
            <w:tcBorders>
              <w:top w:val="single" w:sz="2" w:space="0" w:color="auto"/>
              <w:bottom w:val="single" w:sz="2" w:space="0" w:color="auto"/>
            </w:tcBorders>
            <w:vAlign w:val="center"/>
          </w:tcPr>
          <w:p w:rsidR="005B6A82" w:rsidRPr="004E2FAA" w:rsidRDefault="005B6A82" w:rsidP="00B81482">
            <w:pPr>
              <w:pStyle w:val="cuatexto"/>
              <w:jc w:val="right"/>
            </w:pPr>
            <w:r w:rsidRPr="004E2FAA">
              <w:t>4.682</w:t>
            </w:r>
          </w:p>
        </w:tc>
        <w:tc>
          <w:tcPr>
            <w:tcW w:w="1701" w:type="dxa"/>
            <w:tcBorders>
              <w:top w:val="single" w:sz="2" w:space="0" w:color="auto"/>
              <w:bottom w:val="single" w:sz="2" w:space="0" w:color="auto"/>
            </w:tcBorders>
            <w:vAlign w:val="center"/>
          </w:tcPr>
          <w:p w:rsidR="005B6A82" w:rsidRPr="004E2FAA" w:rsidRDefault="005B6A82" w:rsidP="00B81482">
            <w:pPr>
              <w:pStyle w:val="cuatexto"/>
              <w:jc w:val="right"/>
            </w:pPr>
            <w:r w:rsidRPr="004E2FAA">
              <w:t>34.857.432</w:t>
            </w:r>
          </w:p>
        </w:tc>
      </w:tr>
      <w:tr w:rsidR="005B6A82" w:rsidRPr="009358AD" w:rsidTr="001A4A78">
        <w:trPr>
          <w:trHeight w:val="255"/>
          <w:jc w:val="center"/>
        </w:trPr>
        <w:tc>
          <w:tcPr>
            <w:tcW w:w="4997" w:type="dxa"/>
            <w:gridSpan w:val="2"/>
            <w:tcBorders>
              <w:top w:val="single" w:sz="2" w:space="0" w:color="auto"/>
              <w:bottom w:val="single" w:sz="2" w:space="0" w:color="auto"/>
            </w:tcBorders>
            <w:shd w:val="clear" w:color="auto" w:fill="auto"/>
            <w:noWrap/>
            <w:vAlign w:val="center"/>
            <w:hideMark/>
          </w:tcPr>
          <w:p w:rsidR="005B6A82" w:rsidRPr="004E2FAA" w:rsidRDefault="005B6A82" w:rsidP="004E2FAA">
            <w:pPr>
              <w:pStyle w:val="cuatexto"/>
              <w:jc w:val="left"/>
            </w:pPr>
            <w:r w:rsidRPr="004E2FAA">
              <w:t>2012</w:t>
            </w:r>
          </w:p>
        </w:tc>
        <w:tc>
          <w:tcPr>
            <w:tcW w:w="2126" w:type="dxa"/>
            <w:tcBorders>
              <w:top w:val="single" w:sz="2" w:space="0" w:color="auto"/>
              <w:bottom w:val="single" w:sz="2" w:space="0" w:color="auto"/>
            </w:tcBorders>
            <w:vAlign w:val="center"/>
          </w:tcPr>
          <w:p w:rsidR="005B6A82" w:rsidRPr="004E2FAA" w:rsidRDefault="005B6A82" w:rsidP="00B81482">
            <w:pPr>
              <w:pStyle w:val="cuatexto"/>
              <w:jc w:val="right"/>
            </w:pPr>
            <w:r w:rsidRPr="004E2FAA">
              <w:t>6.082</w:t>
            </w:r>
          </w:p>
        </w:tc>
        <w:tc>
          <w:tcPr>
            <w:tcW w:w="1701" w:type="dxa"/>
            <w:tcBorders>
              <w:top w:val="single" w:sz="2" w:space="0" w:color="auto"/>
              <w:bottom w:val="single" w:sz="2" w:space="0" w:color="auto"/>
            </w:tcBorders>
            <w:vAlign w:val="center"/>
          </w:tcPr>
          <w:p w:rsidR="005B6A82" w:rsidRPr="004E2FAA" w:rsidRDefault="005B6A82" w:rsidP="00B81482">
            <w:pPr>
              <w:pStyle w:val="cuatexto"/>
              <w:jc w:val="right"/>
            </w:pPr>
            <w:r w:rsidRPr="004E2FAA">
              <w:t>37.320.440</w:t>
            </w:r>
          </w:p>
        </w:tc>
      </w:tr>
      <w:tr w:rsidR="005B6A82" w:rsidRPr="009358AD" w:rsidTr="001A4A78">
        <w:trPr>
          <w:trHeight w:val="255"/>
          <w:jc w:val="center"/>
        </w:trPr>
        <w:tc>
          <w:tcPr>
            <w:tcW w:w="4997" w:type="dxa"/>
            <w:gridSpan w:val="2"/>
            <w:tcBorders>
              <w:top w:val="single" w:sz="2" w:space="0" w:color="auto"/>
              <w:bottom w:val="single" w:sz="2" w:space="0" w:color="auto"/>
            </w:tcBorders>
            <w:shd w:val="clear" w:color="auto" w:fill="auto"/>
            <w:noWrap/>
            <w:vAlign w:val="center"/>
            <w:hideMark/>
          </w:tcPr>
          <w:p w:rsidR="005B6A82" w:rsidRPr="004E2FAA" w:rsidRDefault="005B6A82" w:rsidP="004E2FAA">
            <w:pPr>
              <w:pStyle w:val="cuatexto"/>
              <w:jc w:val="left"/>
            </w:pPr>
            <w:r w:rsidRPr="004E2FAA">
              <w:t>2013</w:t>
            </w:r>
          </w:p>
        </w:tc>
        <w:tc>
          <w:tcPr>
            <w:tcW w:w="2126" w:type="dxa"/>
            <w:tcBorders>
              <w:top w:val="single" w:sz="2" w:space="0" w:color="auto"/>
              <w:bottom w:val="single" w:sz="2" w:space="0" w:color="auto"/>
            </w:tcBorders>
            <w:vAlign w:val="center"/>
          </w:tcPr>
          <w:p w:rsidR="005B6A82" w:rsidRPr="004E2FAA" w:rsidRDefault="005B6A82" w:rsidP="00B81482">
            <w:pPr>
              <w:pStyle w:val="cuatexto"/>
              <w:jc w:val="right"/>
            </w:pPr>
            <w:r w:rsidRPr="004E2FAA">
              <w:t>7.184</w:t>
            </w:r>
          </w:p>
        </w:tc>
        <w:tc>
          <w:tcPr>
            <w:tcW w:w="1701" w:type="dxa"/>
            <w:tcBorders>
              <w:top w:val="single" w:sz="2" w:space="0" w:color="auto"/>
              <w:bottom w:val="single" w:sz="2" w:space="0" w:color="auto"/>
            </w:tcBorders>
            <w:vAlign w:val="center"/>
          </w:tcPr>
          <w:p w:rsidR="005B6A82" w:rsidRPr="004E2FAA" w:rsidRDefault="005B6A82" w:rsidP="00B81482">
            <w:pPr>
              <w:pStyle w:val="cuatexto"/>
              <w:jc w:val="right"/>
            </w:pPr>
            <w:r w:rsidRPr="004E2FAA">
              <w:t>40.884.998</w:t>
            </w:r>
          </w:p>
        </w:tc>
      </w:tr>
      <w:tr w:rsidR="005B6A82" w:rsidRPr="009358AD" w:rsidTr="001A4A78">
        <w:trPr>
          <w:trHeight w:val="255"/>
          <w:jc w:val="center"/>
        </w:trPr>
        <w:tc>
          <w:tcPr>
            <w:tcW w:w="4997" w:type="dxa"/>
            <w:gridSpan w:val="2"/>
            <w:tcBorders>
              <w:top w:val="single" w:sz="2" w:space="0" w:color="auto"/>
              <w:bottom w:val="single" w:sz="2" w:space="0" w:color="auto"/>
            </w:tcBorders>
            <w:shd w:val="clear" w:color="auto" w:fill="auto"/>
            <w:noWrap/>
            <w:vAlign w:val="center"/>
            <w:hideMark/>
          </w:tcPr>
          <w:p w:rsidR="005B6A82" w:rsidRPr="004E2FAA" w:rsidRDefault="005B6A82" w:rsidP="004E2FAA">
            <w:pPr>
              <w:pStyle w:val="cuatexto"/>
              <w:jc w:val="left"/>
            </w:pPr>
            <w:r w:rsidRPr="004E2FAA">
              <w:t>2014</w:t>
            </w:r>
          </w:p>
        </w:tc>
        <w:tc>
          <w:tcPr>
            <w:tcW w:w="2126" w:type="dxa"/>
            <w:tcBorders>
              <w:top w:val="single" w:sz="2" w:space="0" w:color="auto"/>
              <w:bottom w:val="single" w:sz="2" w:space="0" w:color="auto"/>
            </w:tcBorders>
            <w:vAlign w:val="center"/>
          </w:tcPr>
          <w:p w:rsidR="005B6A82" w:rsidRPr="004E2FAA" w:rsidRDefault="005B6A82" w:rsidP="00B81482">
            <w:pPr>
              <w:pStyle w:val="cuatexto"/>
              <w:jc w:val="right"/>
            </w:pPr>
            <w:r w:rsidRPr="004E2FAA">
              <w:t>8.846</w:t>
            </w:r>
          </w:p>
        </w:tc>
        <w:tc>
          <w:tcPr>
            <w:tcW w:w="1701" w:type="dxa"/>
            <w:tcBorders>
              <w:top w:val="single" w:sz="2" w:space="0" w:color="auto"/>
              <w:bottom w:val="single" w:sz="2" w:space="0" w:color="auto"/>
            </w:tcBorders>
            <w:vAlign w:val="center"/>
          </w:tcPr>
          <w:p w:rsidR="005B6A82" w:rsidRPr="004E2FAA" w:rsidRDefault="005B6A82" w:rsidP="00B81482">
            <w:pPr>
              <w:pStyle w:val="cuatexto"/>
              <w:jc w:val="right"/>
            </w:pPr>
            <w:r w:rsidRPr="004E2FAA">
              <w:t>58.421.936</w:t>
            </w:r>
          </w:p>
        </w:tc>
      </w:tr>
      <w:tr w:rsidR="005B6A82" w:rsidRPr="009358AD" w:rsidTr="001A4A78">
        <w:trPr>
          <w:trHeight w:val="255"/>
          <w:jc w:val="center"/>
        </w:trPr>
        <w:tc>
          <w:tcPr>
            <w:tcW w:w="4997" w:type="dxa"/>
            <w:gridSpan w:val="2"/>
            <w:tcBorders>
              <w:top w:val="single" w:sz="2" w:space="0" w:color="auto"/>
              <w:bottom w:val="single" w:sz="4" w:space="0" w:color="auto"/>
            </w:tcBorders>
            <w:shd w:val="clear" w:color="auto" w:fill="auto"/>
            <w:noWrap/>
            <w:vAlign w:val="center"/>
            <w:hideMark/>
          </w:tcPr>
          <w:p w:rsidR="005B6A82" w:rsidRPr="004E2FAA" w:rsidRDefault="005B6A82" w:rsidP="004E2FAA">
            <w:pPr>
              <w:pStyle w:val="cuatexto"/>
              <w:jc w:val="left"/>
            </w:pPr>
            <w:r w:rsidRPr="004E2FAA">
              <w:t>2015</w:t>
            </w:r>
          </w:p>
        </w:tc>
        <w:tc>
          <w:tcPr>
            <w:tcW w:w="2126" w:type="dxa"/>
            <w:tcBorders>
              <w:top w:val="single" w:sz="2" w:space="0" w:color="auto"/>
              <w:bottom w:val="single" w:sz="4" w:space="0" w:color="auto"/>
            </w:tcBorders>
            <w:vAlign w:val="center"/>
          </w:tcPr>
          <w:p w:rsidR="005B6A82" w:rsidRPr="004E2FAA" w:rsidRDefault="005B6A82" w:rsidP="00B81482">
            <w:pPr>
              <w:pStyle w:val="cuatexto"/>
              <w:jc w:val="right"/>
            </w:pPr>
            <w:r w:rsidRPr="004E2FAA">
              <w:t>8.484</w:t>
            </w:r>
          </w:p>
        </w:tc>
        <w:tc>
          <w:tcPr>
            <w:tcW w:w="1701" w:type="dxa"/>
            <w:tcBorders>
              <w:top w:val="single" w:sz="2" w:space="0" w:color="auto"/>
              <w:bottom w:val="single" w:sz="4" w:space="0" w:color="auto"/>
            </w:tcBorders>
            <w:vAlign w:val="center"/>
          </w:tcPr>
          <w:p w:rsidR="005B6A82" w:rsidRPr="004E2FAA" w:rsidRDefault="005B6A82" w:rsidP="00B81482">
            <w:pPr>
              <w:pStyle w:val="cuatexto"/>
              <w:jc w:val="right"/>
            </w:pPr>
            <w:r w:rsidRPr="004E2FAA">
              <w:t>39.549.440</w:t>
            </w:r>
          </w:p>
        </w:tc>
      </w:tr>
      <w:tr w:rsidR="005B6A82" w:rsidRPr="00B81482" w:rsidTr="001A4A78">
        <w:trPr>
          <w:trHeight w:val="255"/>
          <w:jc w:val="center"/>
        </w:trPr>
        <w:tc>
          <w:tcPr>
            <w:tcW w:w="4997" w:type="dxa"/>
            <w:gridSpan w:val="2"/>
            <w:tcBorders>
              <w:top w:val="single" w:sz="4" w:space="0" w:color="auto"/>
              <w:bottom w:val="single" w:sz="4" w:space="0" w:color="auto"/>
            </w:tcBorders>
            <w:shd w:val="clear" w:color="auto" w:fill="ACCBF9" w:themeFill="background2"/>
            <w:noWrap/>
            <w:vAlign w:val="center"/>
            <w:hideMark/>
          </w:tcPr>
          <w:p w:rsidR="005B6A82" w:rsidRPr="00B81482" w:rsidRDefault="005B6A82" w:rsidP="00A31857">
            <w:pPr>
              <w:spacing w:after="0"/>
              <w:ind w:firstLine="0"/>
              <w:jc w:val="left"/>
              <w:rPr>
                <w:rFonts w:ascii="Arial" w:hAnsi="Arial" w:cs="Arial"/>
                <w:bCs/>
                <w:color w:val="000000"/>
                <w:sz w:val="18"/>
                <w:szCs w:val="18"/>
                <w:lang w:val="es-ES" w:eastAsia="es-ES"/>
              </w:rPr>
            </w:pPr>
            <w:r w:rsidRPr="00B81482">
              <w:rPr>
                <w:rFonts w:ascii="Arial" w:hAnsi="Arial" w:cs="Arial"/>
                <w:bCs/>
                <w:color w:val="000000"/>
                <w:sz w:val="18"/>
                <w:szCs w:val="18"/>
                <w:lang w:val="es-ES" w:eastAsia="es-ES"/>
              </w:rPr>
              <w:t>Total Insolvencias</w:t>
            </w:r>
          </w:p>
        </w:tc>
        <w:tc>
          <w:tcPr>
            <w:tcW w:w="2126" w:type="dxa"/>
            <w:tcBorders>
              <w:top w:val="single" w:sz="4" w:space="0" w:color="auto"/>
              <w:bottom w:val="single" w:sz="4" w:space="0" w:color="auto"/>
            </w:tcBorders>
            <w:shd w:val="clear" w:color="auto" w:fill="ACCBF9" w:themeFill="background2"/>
            <w:vAlign w:val="center"/>
          </w:tcPr>
          <w:p w:rsidR="005B6A82" w:rsidRPr="00B81482" w:rsidRDefault="005B6A82" w:rsidP="00B81482">
            <w:pPr>
              <w:spacing w:after="0"/>
              <w:ind w:firstLine="0"/>
              <w:jc w:val="right"/>
              <w:rPr>
                <w:rFonts w:ascii="Arial" w:hAnsi="Arial" w:cs="Arial"/>
                <w:bCs/>
                <w:color w:val="000000"/>
                <w:sz w:val="18"/>
                <w:szCs w:val="18"/>
                <w:lang w:val="es-ES" w:eastAsia="es-ES"/>
              </w:rPr>
            </w:pPr>
            <w:r w:rsidRPr="00B81482">
              <w:rPr>
                <w:rFonts w:ascii="Arial" w:hAnsi="Arial" w:cs="Arial"/>
                <w:bCs/>
                <w:color w:val="000000"/>
                <w:sz w:val="18"/>
                <w:szCs w:val="18"/>
                <w:lang w:val="es-ES" w:eastAsia="es-ES"/>
              </w:rPr>
              <w:t>38.922</w:t>
            </w:r>
          </w:p>
        </w:tc>
        <w:tc>
          <w:tcPr>
            <w:tcW w:w="1701" w:type="dxa"/>
            <w:tcBorders>
              <w:top w:val="single" w:sz="4" w:space="0" w:color="auto"/>
              <w:bottom w:val="single" w:sz="4" w:space="0" w:color="auto"/>
            </w:tcBorders>
            <w:shd w:val="clear" w:color="auto" w:fill="ACCBF9" w:themeFill="background2"/>
            <w:vAlign w:val="center"/>
          </w:tcPr>
          <w:p w:rsidR="005B6A82" w:rsidRPr="00B81482" w:rsidRDefault="005B6A82" w:rsidP="00B81482">
            <w:pPr>
              <w:spacing w:after="0"/>
              <w:ind w:firstLine="0"/>
              <w:jc w:val="right"/>
              <w:rPr>
                <w:rFonts w:ascii="Arial" w:hAnsi="Arial" w:cs="Arial"/>
                <w:bCs/>
                <w:color w:val="000000"/>
                <w:sz w:val="18"/>
                <w:szCs w:val="18"/>
                <w:lang w:val="es-ES" w:eastAsia="es-ES"/>
              </w:rPr>
            </w:pPr>
            <w:r w:rsidRPr="00B81482">
              <w:rPr>
                <w:rFonts w:ascii="Arial" w:hAnsi="Arial" w:cs="Arial"/>
                <w:bCs/>
                <w:color w:val="000000"/>
                <w:sz w:val="18"/>
                <w:szCs w:val="18"/>
                <w:lang w:val="es-ES" w:eastAsia="es-ES"/>
              </w:rPr>
              <w:t>286.854.803</w:t>
            </w:r>
          </w:p>
        </w:tc>
      </w:tr>
    </w:tbl>
    <w:p w:rsidR="00D329F4" w:rsidRDefault="00D329F4" w:rsidP="001A4A78">
      <w:pPr>
        <w:pStyle w:val="texto"/>
        <w:tabs>
          <w:tab w:val="clear" w:pos="2835"/>
          <w:tab w:val="clear" w:pos="3969"/>
          <w:tab w:val="clear" w:pos="5103"/>
          <w:tab w:val="clear" w:pos="6237"/>
          <w:tab w:val="clear" w:pos="7371"/>
        </w:tabs>
        <w:spacing w:after="0"/>
        <w:ind w:firstLine="0"/>
        <w:rPr>
          <w:sz w:val="24"/>
        </w:rPr>
      </w:pPr>
    </w:p>
    <w:p w:rsidR="00824F82" w:rsidRPr="00A63248" w:rsidRDefault="00824F82" w:rsidP="005B6A82">
      <w:pPr>
        <w:pStyle w:val="texto"/>
        <w:tabs>
          <w:tab w:val="clear" w:pos="2835"/>
          <w:tab w:val="clear" w:pos="3969"/>
          <w:tab w:val="clear" w:pos="5103"/>
          <w:tab w:val="clear" w:pos="6237"/>
          <w:tab w:val="clear" w:pos="7371"/>
        </w:tabs>
        <w:rPr>
          <w:szCs w:val="26"/>
        </w:rPr>
      </w:pPr>
      <w:r w:rsidRPr="00A63248">
        <w:rPr>
          <w:szCs w:val="26"/>
        </w:rPr>
        <w:t xml:space="preserve">Del anterior importe total de insolvencias, el 30 por ciento se encuentra en </w:t>
      </w:r>
      <w:r w:rsidR="00456BB3" w:rsidRPr="00A63248">
        <w:rPr>
          <w:szCs w:val="26"/>
        </w:rPr>
        <w:t xml:space="preserve">la sección de </w:t>
      </w:r>
      <w:r w:rsidRPr="00A63248">
        <w:rPr>
          <w:szCs w:val="26"/>
        </w:rPr>
        <w:t>recaudación ejecutiva</w:t>
      </w:r>
      <w:r w:rsidR="003F2AF8" w:rsidRPr="00A63248">
        <w:rPr>
          <w:szCs w:val="26"/>
        </w:rPr>
        <w:t xml:space="preserve"> </w:t>
      </w:r>
      <w:r w:rsidR="00B81482" w:rsidRPr="00A63248">
        <w:rPr>
          <w:szCs w:val="26"/>
        </w:rPr>
        <w:t>–</w:t>
      </w:r>
      <w:r w:rsidR="003F2AF8" w:rsidRPr="00A63248">
        <w:rPr>
          <w:szCs w:val="26"/>
        </w:rPr>
        <w:t>19.383 deudores</w:t>
      </w:r>
      <w:r w:rsidR="00B81482" w:rsidRPr="00A63248">
        <w:rPr>
          <w:szCs w:val="26"/>
        </w:rPr>
        <w:t>–</w:t>
      </w:r>
      <w:r w:rsidRPr="00A63248">
        <w:rPr>
          <w:szCs w:val="26"/>
        </w:rPr>
        <w:t xml:space="preserve"> y el 20 por ciento en</w:t>
      </w:r>
      <w:r w:rsidR="00456BB3" w:rsidRPr="00A63248">
        <w:rPr>
          <w:szCs w:val="26"/>
        </w:rPr>
        <w:t xml:space="preserve"> la de</w:t>
      </w:r>
      <w:r w:rsidRPr="00A63248">
        <w:rPr>
          <w:szCs w:val="26"/>
        </w:rPr>
        <w:t xml:space="preserve"> procedimientos especiales</w:t>
      </w:r>
      <w:r w:rsidR="003F2AF8" w:rsidRPr="00A63248">
        <w:rPr>
          <w:szCs w:val="26"/>
        </w:rPr>
        <w:t xml:space="preserve"> </w:t>
      </w:r>
      <w:r w:rsidR="00B81482" w:rsidRPr="00A63248">
        <w:rPr>
          <w:szCs w:val="26"/>
        </w:rPr>
        <w:t>–78 deudores–</w:t>
      </w:r>
      <w:r w:rsidR="003F2AF8" w:rsidRPr="00A63248">
        <w:rPr>
          <w:szCs w:val="26"/>
        </w:rPr>
        <w:t>.</w:t>
      </w:r>
      <w:r w:rsidR="00456BB3" w:rsidRPr="00A63248">
        <w:rPr>
          <w:szCs w:val="26"/>
        </w:rPr>
        <w:t xml:space="preserve"> El resto</w:t>
      </w:r>
      <w:r w:rsidR="006142B5" w:rsidRPr="00A63248">
        <w:rPr>
          <w:szCs w:val="26"/>
        </w:rPr>
        <w:t xml:space="preserve"> se tramita desde Tracasa</w:t>
      </w:r>
      <w:r w:rsidR="003F2AF8" w:rsidRPr="00A63248">
        <w:rPr>
          <w:szCs w:val="26"/>
        </w:rPr>
        <w:t>, y corresponden a 19.461 deudores.</w:t>
      </w:r>
    </w:p>
    <w:p w:rsidR="005B6A82" w:rsidRPr="00A63248" w:rsidRDefault="005B6A82" w:rsidP="005B6A82">
      <w:pPr>
        <w:pStyle w:val="texto"/>
        <w:tabs>
          <w:tab w:val="clear" w:pos="2835"/>
          <w:tab w:val="clear" w:pos="3969"/>
          <w:tab w:val="clear" w:pos="5103"/>
          <w:tab w:val="clear" w:pos="6237"/>
          <w:tab w:val="clear" w:pos="7371"/>
        </w:tabs>
        <w:rPr>
          <w:szCs w:val="26"/>
        </w:rPr>
      </w:pPr>
      <w:r w:rsidRPr="00A63248">
        <w:rPr>
          <w:szCs w:val="26"/>
        </w:rPr>
        <w:t>La declaración de insolvencia no se documenta formalmente</w:t>
      </w:r>
      <w:r w:rsidR="00C04A6A">
        <w:rPr>
          <w:szCs w:val="26"/>
        </w:rPr>
        <w:t>, excepto en aquellos casos en los que se inicia el expediente de derivación de responsabil</w:t>
      </w:r>
      <w:r w:rsidR="00C04A6A">
        <w:rPr>
          <w:szCs w:val="26"/>
        </w:rPr>
        <w:t>i</w:t>
      </w:r>
      <w:r w:rsidR="00C04A6A">
        <w:rPr>
          <w:szCs w:val="26"/>
        </w:rPr>
        <w:t>dad,</w:t>
      </w:r>
      <w:r w:rsidRPr="00A63248">
        <w:rPr>
          <w:szCs w:val="26"/>
        </w:rPr>
        <w:t xml:space="preserve"> ni tiene reflejo en contabilidad</w:t>
      </w:r>
      <w:r w:rsidR="00AF25EC" w:rsidRPr="00A63248">
        <w:rPr>
          <w:szCs w:val="26"/>
        </w:rPr>
        <w:t xml:space="preserve"> ni en el CAT</w:t>
      </w:r>
      <w:r w:rsidRPr="00A63248">
        <w:rPr>
          <w:szCs w:val="26"/>
        </w:rPr>
        <w:t>.</w:t>
      </w:r>
    </w:p>
    <w:p w:rsidR="005B6A82" w:rsidRPr="00A63248" w:rsidRDefault="005B6A82" w:rsidP="005B6A82">
      <w:pPr>
        <w:pStyle w:val="texto"/>
        <w:tabs>
          <w:tab w:val="clear" w:pos="2835"/>
          <w:tab w:val="clear" w:pos="3969"/>
          <w:tab w:val="clear" w:pos="5103"/>
          <w:tab w:val="clear" w:pos="6237"/>
          <w:tab w:val="clear" w:pos="7371"/>
        </w:tabs>
        <w:rPr>
          <w:szCs w:val="26"/>
        </w:rPr>
      </w:pPr>
      <w:r w:rsidRPr="00A63248">
        <w:rPr>
          <w:szCs w:val="26"/>
        </w:rPr>
        <w:t>Recordamos que tal insolvencia es el paso previo para la declaración de de</w:t>
      </w:r>
      <w:r w:rsidRPr="00A63248">
        <w:rPr>
          <w:szCs w:val="26"/>
        </w:rPr>
        <w:t>u</w:t>
      </w:r>
      <w:r w:rsidRPr="00A63248">
        <w:rPr>
          <w:szCs w:val="26"/>
        </w:rPr>
        <w:t>dor fallido y para la derivación de responsabilidades.</w:t>
      </w:r>
    </w:p>
    <w:p w:rsidR="001602E6" w:rsidRPr="00A63248" w:rsidRDefault="001602E6" w:rsidP="005B6A82">
      <w:pPr>
        <w:pStyle w:val="texto"/>
        <w:tabs>
          <w:tab w:val="clear" w:pos="2835"/>
          <w:tab w:val="clear" w:pos="3969"/>
          <w:tab w:val="clear" w:pos="5103"/>
          <w:tab w:val="clear" w:pos="6237"/>
          <w:tab w:val="clear" w:pos="7371"/>
        </w:tabs>
        <w:rPr>
          <w:szCs w:val="26"/>
        </w:rPr>
      </w:pPr>
      <w:r w:rsidRPr="00A63248">
        <w:rPr>
          <w:szCs w:val="26"/>
        </w:rPr>
        <w:t>La declaración de insolvencia provisional se mantiene en tanto no se obse</w:t>
      </w:r>
      <w:r w:rsidRPr="00A63248">
        <w:rPr>
          <w:szCs w:val="26"/>
        </w:rPr>
        <w:t>r</w:t>
      </w:r>
      <w:r w:rsidRPr="00A63248">
        <w:rPr>
          <w:szCs w:val="26"/>
        </w:rPr>
        <w:t>ven causas sobrevenidas de solvencia o transcurra el plazo de prescripción.</w:t>
      </w:r>
    </w:p>
    <w:p w:rsidR="00C04A6A" w:rsidRDefault="00377FCF" w:rsidP="00E255DF">
      <w:pPr>
        <w:pStyle w:val="texto"/>
        <w:tabs>
          <w:tab w:val="clear" w:pos="2835"/>
          <w:tab w:val="clear" w:pos="3969"/>
          <w:tab w:val="clear" w:pos="5103"/>
          <w:tab w:val="clear" w:pos="6237"/>
          <w:tab w:val="clear" w:pos="7371"/>
        </w:tabs>
        <w:rPr>
          <w:szCs w:val="26"/>
        </w:rPr>
      </w:pPr>
      <w:r w:rsidRPr="00C04A6A">
        <w:rPr>
          <w:szCs w:val="26"/>
        </w:rPr>
        <w:t>Dentro de estas insolvencias, se incluyen también las deudas no fiscales por herencias yacentes, es decir, aquellas deudas de personas asistidas en reside</w:t>
      </w:r>
      <w:r w:rsidRPr="00C04A6A">
        <w:rPr>
          <w:szCs w:val="26"/>
        </w:rPr>
        <w:t>n</w:t>
      </w:r>
      <w:r w:rsidRPr="00C04A6A">
        <w:rPr>
          <w:szCs w:val="26"/>
        </w:rPr>
        <w:t>cias de la tercera edad acumulada durante los años de su estancia</w:t>
      </w:r>
      <w:r w:rsidR="00AF25EC" w:rsidRPr="00C04A6A">
        <w:rPr>
          <w:szCs w:val="26"/>
        </w:rPr>
        <w:t xml:space="preserve"> </w:t>
      </w:r>
      <w:r w:rsidRPr="00C04A6A">
        <w:rPr>
          <w:szCs w:val="26"/>
        </w:rPr>
        <w:t>y exigible a su fallecimiento</w:t>
      </w:r>
      <w:r w:rsidR="00E61717" w:rsidRPr="00C04A6A">
        <w:rPr>
          <w:szCs w:val="26"/>
        </w:rPr>
        <w:t xml:space="preserve">; estas deudas </w:t>
      </w:r>
      <w:r w:rsidR="00C04A6A" w:rsidRPr="00C04A6A">
        <w:rPr>
          <w:szCs w:val="26"/>
        </w:rPr>
        <w:t>pueden estar garantizadas</w:t>
      </w:r>
      <w:r w:rsidR="00E61717" w:rsidRPr="00C04A6A">
        <w:rPr>
          <w:szCs w:val="26"/>
        </w:rPr>
        <w:t xml:space="preserve"> básicamente con hip</w:t>
      </w:r>
      <w:r w:rsidR="00E61717" w:rsidRPr="00C04A6A">
        <w:rPr>
          <w:szCs w:val="26"/>
        </w:rPr>
        <w:t>o</w:t>
      </w:r>
      <w:r w:rsidR="00E61717" w:rsidRPr="00C04A6A">
        <w:rPr>
          <w:szCs w:val="26"/>
        </w:rPr>
        <w:t>tecas sobre bienes inmuebles</w:t>
      </w:r>
      <w:r w:rsidRPr="00C04A6A">
        <w:rPr>
          <w:szCs w:val="26"/>
        </w:rPr>
        <w:t>. Las deudas de</w:t>
      </w:r>
      <w:r w:rsidR="00E61717" w:rsidRPr="00C04A6A">
        <w:rPr>
          <w:szCs w:val="26"/>
        </w:rPr>
        <w:t>l Departamento de P</w:t>
      </w:r>
      <w:r w:rsidRPr="00C04A6A">
        <w:rPr>
          <w:szCs w:val="26"/>
        </w:rPr>
        <w:t xml:space="preserve">olítica </w:t>
      </w:r>
      <w:r w:rsidR="00E61717" w:rsidRPr="00C04A6A">
        <w:rPr>
          <w:szCs w:val="26"/>
        </w:rPr>
        <w:t>S</w:t>
      </w:r>
      <w:r w:rsidRPr="00C04A6A">
        <w:rPr>
          <w:szCs w:val="26"/>
        </w:rPr>
        <w:t xml:space="preserve">ocial tienen un periodo voluntario de seis meses, </w:t>
      </w:r>
      <w:r w:rsidR="00E61717" w:rsidRPr="00C04A6A">
        <w:rPr>
          <w:szCs w:val="26"/>
        </w:rPr>
        <w:t>correspondiendo al mismo la re</w:t>
      </w:r>
      <w:r w:rsidR="00E61717" w:rsidRPr="00C04A6A">
        <w:rPr>
          <w:szCs w:val="26"/>
        </w:rPr>
        <w:t>s</w:t>
      </w:r>
      <w:r w:rsidR="00E61717" w:rsidRPr="00C04A6A">
        <w:rPr>
          <w:szCs w:val="26"/>
        </w:rPr>
        <w:lastRenderedPageBreak/>
        <w:t>ponsabilidad de su cobro en este periodo; una vez transcurrido el mismo sin haberse hecho efectiva la deuda, se tras</w:t>
      </w:r>
      <w:r w:rsidR="00E255DF" w:rsidRPr="00C04A6A">
        <w:rPr>
          <w:szCs w:val="26"/>
        </w:rPr>
        <w:t>lada</w:t>
      </w:r>
      <w:r w:rsidR="00E61717" w:rsidRPr="00C04A6A">
        <w:rPr>
          <w:szCs w:val="26"/>
        </w:rPr>
        <w:t xml:space="preserve"> el expediente a recaudación ejec</w:t>
      </w:r>
      <w:r w:rsidR="00E61717" w:rsidRPr="00C04A6A">
        <w:rPr>
          <w:szCs w:val="26"/>
        </w:rPr>
        <w:t>u</w:t>
      </w:r>
      <w:r w:rsidR="00E61717" w:rsidRPr="00C04A6A">
        <w:rPr>
          <w:szCs w:val="26"/>
        </w:rPr>
        <w:t>tiva.</w:t>
      </w:r>
      <w:r w:rsidRPr="00C04A6A">
        <w:rPr>
          <w:szCs w:val="26"/>
        </w:rPr>
        <w:t xml:space="preserve"> </w:t>
      </w:r>
    </w:p>
    <w:p w:rsidR="00377FCF" w:rsidRPr="00C04A6A" w:rsidRDefault="00377FCF" w:rsidP="00E255DF">
      <w:pPr>
        <w:pStyle w:val="texto"/>
        <w:tabs>
          <w:tab w:val="clear" w:pos="2835"/>
          <w:tab w:val="clear" w:pos="3969"/>
          <w:tab w:val="clear" w:pos="5103"/>
          <w:tab w:val="clear" w:pos="6237"/>
          <w:tab w:val="clear" w:pos="7371"/>
        </w:tabs>
        <w:rPr>
          <w:szCs w:val="26"/>
        </w:rPr>
      </w:pPr>
      <w:r w:rsidRPr="00C04A6A">
        <w:rPr>
          <w:szCs w:val="26"/>
        </w:rPr>
        <w:t>Para proceder a su cobro, se encuentran con importantes dificultades técn</w:t>
      </w:r>
      <w:r w:rsidRPr="00C04A6A">
        <w:rPr>
          <w:szCs w:val="26"/>
        </w:rPr>
        <w:t>i</w:t>
      </w:r>
      <w:r w:rsidRPr="00C04A6A">
        <w:rPr>
          <w:szCs w:val="26"/>
        </w:rPr>
        <w:t>cas, tales como patrimonios sin registrar,</w:t>
      </w:r>
      <w:r w:rsidR="00E61717" w:rsidRPr="00C04A6A">
        <w:rPr>
          <w:szCs w:val="26"/>
        </w:rPr>
        <w:t xml:space="preserve"> desconocimiento de las cargas sobre los bienes,</w:t>
      </w:r>
      <w:r w:rsidRPr="00C04A6A">
        <w:rPr>
          <w:szCs w:val="26"/>
        </w:rPr>
        <w:t xml:space="preserve"> inmuebles de muy difícil venta u operaciones previas al ingreso en la residencia</w:t>
      </w:r>
      <w:r w:rsidR="00E255DF" w:rsidRPr="00C04A6A">
        <w:rPr>
          <w:szCs w:val="26"/>
        </w:rPr>
        <w:t>; además en las herencias yacentes no hay posibilidad de deriv</w:t>
      </w:r>
      <w:r w:rsidR="00E255DF" w:rsidRPr="00C04A6A">
        <w:rPr>
          <w:szCs w:val="26"/>
        </w:rPr>
        <w:t>a</w:t>
      </w:r>
      <w:r w:rsidR="00E255DF" w:rsidRPr="00C04A6A">
        <w:rPr>
          <w:szCs w:val="26"/>
        </w:rPr>
        <w:t>ción de responsabilidades</w:t>
      </w:r>
      <w:r w:rsidR="00C04A6A">
        <w:rPr>
          <w:szCs w:val="26"/>
        </w:rPr>
        <w:t>, por lo que una vez realizados los bienes del causante en el procedimiento de apremio, el saldo de la deuda pendiente resulta incobr</w:t>
      </w:r>
      <w:r w:rsidR="00C04A6A">
        <w:rPr>
          <w:szCs w:val="26"/>
        </w:rPr>
        <w:t>a</w:t>
      </w:r>
      <w:r w:rsidR="00C04A6A">
        <w:rPr>
          <w:szCs w:val="26"/>
        </w:rPr>
        <w:t>ble</w:t>
      </w:r>
      <w:r w:rsidR="00E255DF" w:rsidRPr="00C04A6A">
        <w:rPr>
          <w:szCs w:val="26"/>
        </w:rPr>
        <w:t xml:space="preserve">. </w:t>
      </w:r>
      <w:r w:rsidRPr="00C04A6A">
        <w:rPr>
          <w:szCs w:val="26"/>
        </w:rPr>
        <w:t xml:space="preserve">Su </w:t>
      </w:r>
      <w:r w:rsidR="00AF25EC" w:rsidRPr="00C04A6A">
        <w:rPr>
          <w:szCs w:val="26"/>
        </w:rPr>
        <w:t>saldo actual</w:t>
      </w:r>
      <w:r w:rsidRPr="00C04A6A">
        <w:rPr>
          <w:szCs w:val="26"/>
        </w:rPr>
        <w:t xml:space="preserve"> asciende a 33</w:t>
      </w:r>
      <w:r w:rsidR="00D54DC4" w:rsidRPr="00C04A6A">
        <w:rPr>
          <w:szCs w:val="26"/>
        </w:rPr>
        <w:t>,24</w:t>
      </w:r>
      <w:r w:rsidRPr="00C04A6A">
        <w:rPr>
          <w:szCs w:val="26"/>
        </w:rPr>
        <w:t xml:space="preserve"> millones</w:t>
      </w:r>
      <w:r w:rsidR="00FB4AFC" w:rsidRPr="00C04A6A">
        <w:rPr>
          <w:szCs w:val="26"/>
        </w:rPr>
        <w:t>,</w:t>
      </w:r>
      <w:r w:rsidRPr="00C04A6A">
        <w:rPr>
          <w:szCs w:val="26"/>
        </w:rPr>
        <w:t xml:space="preserve"> correspondien</w:t>
      </w:r>
      <w:r w:rsidR="00534307" w:rsidRPr="00C04A6A">
        <w:rPr>
          <w:szCs w:val="26"/>
        </w:rPr>
        <w:t>do</w:t>
      </w:r>
      <w:r w:rsidRPr="00C04A6A">
        <w:rPr>
          <w:szCs w:val="26"/>
        </w:rPr>
        <w:t xml:space="preserve"> a unos 780 deudores.</w:t>
      </w:r>
    </w:p>
    <w:p w:rsidR="009F0AB1" w:rsidRPr="001A4A78" w:rsidRDefault="005B6A82" w:rsidP="007230BE">
      <w:pPr>
        <w:pStyle w:val="texto"/>
        <w:tabs>
          <w:tab w:val="clear" w:pos="2835"/>
          <w:tab w:val="clear" w:pos="3969"/>
          <w:tab w:val="clear" w:pos="5103"/>
          <w:tab w:val="clear" w:pos="6237"/>
          <w:tab w:val="clear" w:pos="7371"/>
        </w:tabs>
        <w:rPr>
          <w:spacing w:val="0"/>
          <w:szCs w:val="26"/>
        </w:rPr>
      </w:pPr>
      <w:r w:rsidRPr="00A63248">
        <w:rPr>
          <w:szCs w:val="26"/>
        </w:rPr>
        <w:t>c</w:t>
      </w:r>
      <w:r w:rsidR="006A2986" w:rsidRPr="00A63248">
        <w:rPr>
          <w:szCs w:val="26"/>
        </w:rPr>
        <w:t>)</w:t>
      </w:r>
      <w:r w:rsidR="007230BE" w:rsidRPr="00A63248">
        <w:rPr>
          <w:szCs w:val="26"/>
        </w:rPr>
        <w:t xml:space="preserve"> </w:t>
      </w:r>
      <w:r w:rsidR="005D16DB" w:rsidRPr="001A4A78">
        <w:rPr>
          <w:b/>
          <w:spacing w:val="0"/>
          <w:szCs w:val="26"/>
        </w:rPr>
        <w:t>Declaración de fallidos</w:t>
      </w:r>
      <w:r w:rsidR="00C8719E" w:rsidRPr="001A4A78">
        <w:rPr>
          <w:spacing w:val="0"/>
          <w:szCs w:val="26"/>
        </w:rPr>
        <w:t>.</w:t>
      </w:r>
      <w:r w:rsidR="005D16DB" w:rsidRPr="001A4A78">
        <w:rPr>
          <w:spacing w:val="0"/>
          <w:szCs w:val="26"/>
        </w:rPr>
        <w:t xml:space="preserve"> </w:t>
      </w:r>
      <w:r w:rsidR="009F0AB1" w:rsidRPr="001A4A78">
        <w:rPr>
          <w:spacing w:val="0"/>
          <w:szCs w:val="26"/>
        </w:rPr>
        <w:t>Son deudores fallidos aquellos cuyas deudas no pu</w:t>
      </w:r>
      <w:r w:rsidR="009F0AB1" w:rsidRPr="001A4A78">
        <w:rPr>
          <w:spacing w:val="0"/>
          <w:szCs w:val="26"/>
        </w:rPr>
        <w:t>e</w:t>
      </w:r>
      <w:r w:rsidR="009F0AB1" w:rsidRPr="001A4A78">
        <w:rPr>
          <w:spacing w:val="0"/>
          <w:szCs w:val="26"/>
        </w:rPr>
        <w:t>den hacerse efectivas en el procedimiento ejecutivo por insolvencia de los mismos y de los demás responsables, si los hubiera, o por desconocerse su paradero.</w:t>
      </w:r>
    </w:p>
    <w:p w:rsidR="009D03A0" w:rsidRPr="001A4A78" w:rsidRDefault="005D16DB" w:rsidP="007230BE">
      <w:pPr>
        <w:pStyle w:val="texto"/>
        <w:tabs>
          <w:tab w:val="clear" w:pos="2835"/>
          <w:tab w:val="clear" w:pos="3969"/>
          <w:tab w:val="clear" w:pos="5103"/>
          <w:tab w:val="clear" w:pos="6237"/>
          <w:tab w:val="clear" w:pos="7371"/>
        </w:tabs>
        <w:rPr>
          <w:spacing w:val="2"/>
          <w:szCs w:val="26"/>
        </w:rPr>
      </w:pPr>
      <w:r w:rsidRPr="001A4A78">
        <w:rPr>
          <w:spacing w:val="2"/>
          <w:szCs w:val="26"/>
        </w:rPr>
        <w:t>Esta declaración es el trámite previo para proceder a la derivación de respons</w:t>
      </w:r>
      <w:r w:rsidRPr="001A4A78">
        <w:rPr>
          <w:spacing w:val="2"/>
          <w:szCs w:val="26"/>
        </w:rPr>
        <w:t>a</w:t>
      </w:r>
      <w:r w:rsidRPr="001A4A78">
        <w:rPr>
          <w:spacing w:val="2"/>
          <w:szCs w:val="26"/>
        </w:rPr>
        <w:t>bilidades, excepto en</w:t>
      </w:r>
      <w:r w:rsidR="00831CE1" w:rsidRPr="001A4A78">
        <w:rPr>
          <w:spacing w:val="2"/>
          <w:szCs w:val="26"/>
        </w:rPr>
        <w:t xml:space="preserve"> el supuesto de</w:t>
      </w:r>
      <w:r w:rsidRPr="001A4A78">
        <w:rPr>
          <w:spacing w:val="2"/>
          <w:szCs w:val="26"/>
        </w:rPr>
        <w:t xml:space="preserve"> responsabilidad solidaria que no la precisa. </w:t>
      </w:r>
    </w:p>
    <w:p w:rsidR="009F0AB1" w:rsidRPr="00A63248" w:rsidRDefault="0024516C" w:rsidP="009F0AB1">
      <w:pPr>
        <w:pStyle w:val="texto"/>
        <w:tabs>
          <w:tab w:val="clear" w:pos="2835"/>
          <w:tab w:val="clear" w:pos="3969"/>
          <w:tab w:val="clear" w:pos="5103"/>
          <w:tab w:val="clear" w:pos="6237"/>
          <w:tab w:val="clear" w:pos="7371"/>
        </w:tabs>
        <w:rPr>
          <w:szCs w:val="26"/>
        </w:rPr>
      </w:pPr>
      <w:r w:rsidRPr="00A63248">
        <w:rPr>
          <w:szCs w:val="26"/>
        </w:rPr>
        <w:t>S</w:t>
      </w:r>
      <w:r w:rsidR="005D16DB" w:rsidRPr="00A63248">
        <w:rPr>
          <w:szCs w:val="26"/>
        </w:rPr>
        <w:t xml:space="preserve">e aprueba por resolución del </w:t>
      </w:r>
      <w:r w:rsidR="007A2F8F">
        <w:rPr>
          <w:szCs w:val="26"/>
        </w:rPr>
        <w:t>d</w:t>
      </w:r>
      <w:r w:rsidR="005D16DB" w:rsidRPr="00A63248">
        <w:rPr>
          <w:szCs w:val="26"/>
        </w:rPr>
        <w:t xml:space="preserve">irector </w:t>
      </w:r>
      <w:r w:rsidR="007A2F8F">
        <w:rPr>
          <w:szCs w:val="26"/>
        </w:rPr>
        <w:t>g</w:t>
      </w:r>
      <w:r w:rsidR="005D16DB" w:rsidRPr="00A63248">
        <w:rPr>
          <w:szCs w:val="26"/>
        </w:rPr>
        <w:t>erente de la HTN a propuesta del Servicio de Recaudación</w:t>
      </w:r>
      <w:r w:rsidR="00831CE1" w:rsidRPr="00A63248">
        <w:rPr>
          <w:szCs w:val="26"/>
        </w:rPr>
        <w:t>.</w:t>
      </w:r>
      <w:r w:rsidR="009D03A0" w:rsidRPr="00A63248">
        <w:rPr>
          <w:szCs w:val="26"/>
        </w:rPr>
        <w:t xml:space="preserve"> </w:t>
      </w:r>
      <w:r w:rsidR="009F0AB1" w:rsidRPr="00A63248">
        <w:rPr>
          <w:szCs w:val="26"/>
        </w:rPr>
        <w:t>Para ello, en primer lugar, se demostrará la insolve</w:t>
      </w:r>
      <w:r w:rsidR="009F0AB1" w:rsidRPr="00A63248">
        <w:rPr>
          <w:szCs w:val="26"/>
        </w:rPr>
        <w:t>n</w:t>
      </w:r>
      <w:r w:rsidR="009F0AB1" w:rsidRPr="00A63248">
        <w:rPr>
          <w:szCs w:val="26"/>
        </w:rPr>
        <w:t>cia o, en su caso, paradero desconocido de los deudores principales y respons</w:t>
      </w:r>
      <w:r w:rsidR="009F0AB1" w:rsidRPr="00A63248">
        <w:rPr>
          <w:szCs w:val="26"/>
        </w:rPr>
        <w:t>a</w:t>
      </w:r>
      <w:r w:rsidR="009F0AB1" w:rsidRPr="00A63248">
        <w:rPr>
          <w:szCs w:val="26"/>
        </w:rPr>
        <w:t>bles solidarios, por lo que serán declarados fallidos. Se investiga, a continu</w:t>
      </w:r>
      <w:r w:rsidR="009F0AB1" w:rsidRPr="00A63248">
        <w:rPr>
          <w:szCs w:val="26"/>
        </w:rPr>
        <w:t>a</w:t>
      </w:r>
      <w:r w:rsidR="009F0AB1" w:rsidRPr="00A63248">
        <w:rPr>
          <w:szCs w:val="26"/>
        </w:rPr>
        <w:t>ción</w:t>
      </w:r>
      <w:r w:rsidRPr="00A63248">
        <w:rPr>
          <w:szCs w:val="26"/>
        </w:rPr>
        <w:t>,</w:t>
      </w:r>
      <w:r w:rsidR="009F0AB1" w:rsidRPr="00A63248">
        <w:rPr>
          <w:szCs w:val="26"/>
        </w:rPr>
        <w:t xml:space="preserve"> la existencia o no de responsables subsidiarios; si no existen, el crédito será declarado incobrable. Si existen </w:t>
      </w:r>
      <w:r w:rsidR="00CC184A" w:rsidRPr="00A63248">
        <w:rPr>
          <w:szCs w:val="26"/>
        </w:rPr>
        <w:t xml:space="preserve">tales </w:t>
      </w:r>
      <w:r w:rsidR="009F0AB1" w:rsidRPr="00A63248">
        <w:rPr>
          <w:szCs w:val="26"/>
        </w:rPr>
        <w:t xml:space="preserve">responsables subsidiarios, el servicio de </w:t>
      </w:r>
      <w:r w:rsidRPr="00A63248">
        <w:rPr>
          <w:szCs w:val="26"/>
        </w:rPr>
        <w:t>R</w:t>
      </w:r>
      <w:r w:rsidR="009F0AB1" w:rsidRPr="00A63248">
        <w:rPr>
          <w:szCs w:val="26"/>
        </w:rPr>
        <w:t>ecaudación dictará acto administrativo de derivación de responsabilidad.</w:t>
      </w:r>
    </w:p>
    <w:p w:rsidR="00831CE1" w:rsidRPr="00A63248" w:rsidRDefault="00831CE1" w:rsidP="009D03A0">
      <w:pPr>
        <w:pStyle w:val="texto"/>
        <w:tabs>
          <w:tab w:val="clear" w:pos="2835"/>
          <w:tab w:val="clear" w:pos="3969"/>
          <w:tab w:val="clear" w:pos="5103"/>
          <w:tab w:val="clear" w:pos="6237"/>
          <w:tab w:val="clear" w:pos="7371"/>
        </w:tabs>
        <w:rPr>
          <w:szCs w:val="26"/>
        </w:rPr>
      </w:pPr>
      <w:r w:rsidRPr="00A63248">
        <w:rPr>
          <w:szCs w:val="26"/>
        </w:rPr>
        <w:t xml:space="preserve">Esta declaración </w:t>
      </w:r>
      <w:r w:rsidR="0024516C" w:rsidRPr="00A63248">
        <w:rPr>
          <w:szCs w:val="26"/>
        </w:rPr>
        <w:t xml:space="preserve">de fallido </w:t>
      </w:r>
      <w:r w:rsidRPr="00A63248">
        <w:rPr>
          <w:szCs w:val="26"/>
        </w:rPr>
        <w:t>no está normalizada, trabaj</w:t>
      </w:r>
      <w:r w:rsidR="00AF25EC" w:rsidRPr="00A63248">
        <w:rPr>
          <w:szCs w:val="26"/>
        </w:rPr>
        <w:t>a</w:t>
      </w:r>
      <w:r w:rsidRPr="00A63248">
        <w:rPr>
          <w:szCs w:val="26"/>
        </w:rPr>
        <w:t>ndo</w:t>
      </w:r>
      <w:r w:rsidR="00AF25EC" w:rsidRPr="00A63248">
        <w:rPr>
          <w:szCs w:val="26"/>
        </w:rPr>
        <w:t xml:space="preserve"> actualmente </w:t>
      </w:r>
      <w:r w:rsidRPr="00A63248">
        <w:rPr>
          <w:szCs w:val="26"/>
        </w:rPr>
        <w:t>la HTN en</w:t>
      </w:r>
      <w:r w:rsidR="00AF25EC" w:rsidRPr="00A63248">
        <w:rPr>
          <w:szCs w:val="26"/>
        </w:rPr>
        <w:t xml:space="preserve"> la elaboración de</w:t>
      </w:r>
      <w:r w:rsidRPr="00A63248">
        <w:rPr>
          <w:szCs w:val="26"/>
        </w:rPr>
        <w:t xml:space="preserve"> un documento que permita determinar las bases para la fase siguiente a la misma, es decir, la derivación de responsabilidades.</w:t>
      </w:r>
    </w:p>
    <w:p w:rsidR="00831CE1" w:rsidRPr="00A63248" w:rsidRDefault="00831CE1" w:rsidP="007230BE">
      <w:pPr>
        <w:pStyle w:val="texto"/>
        <w:tabs>
          <w:tab w:val="clear" w:pos="2835"/>
          <w:tab w:val="clear" w:pos="3969"/>
          <w:tab w:val="clear" w:pos="5103"/>
          <w:tab w:val="clear" w:pos="6237"/>
          <w:tab w:val="clear" w:pos="7371"/>
        </w:tabs>
        <w:rPr>
          <w:szCs w:val="26"/>
        </w:rPr>
      </w:pPr>
      <w:r w:rsidRPr="00A63248">
        <w:rPr>
          <w:szCs w:val="26"/>
        </w:rPr>
        <w:t xml:space="preserve">Entre 2010 y 2015 se han declarado </w:t>
      </w:r>
      <w:r w:rsidR="0024516C" w:rsidRPr="00A63248">
        <w:rPr>
          <w:szCs w:val="26"/>
        </w:rPr>
        <w:t xml:space="preserve">formalmente </w:t>
      </w:r>
      <w:r w:rsidRPr="00A63248">
        <w:rPr>
          <w:szCs w:val="26"/>
        </w:rPr>
        <w:t>un total de 126 declaraci</w:t>
      </w:r>
      <w:r w:rsidRPr="00A63248">
        <w:rPr>
          <w:szCs w:val="26"/>
        </w:rPr>
        <w:t>o</w:t>
      </w:r>
      <w:r w:rsidRPr="00A63248">
        <w:rPr>
          <w:szCs w:val="26"/>
        </w:rPr>
        <w:t>nes de fallidos con una deuda de 16,68 millones.</w:t>
      </w:r>
      <w:r w:rsidR="0024516C" w:rsidRPr="00A63248">
        <w:rPr>
          <w:szCs w:val="26"/>
        </w:rPr>
        <w:t xml:space="preserve"> Como norma, solo se declaran</w:t>
      </w:r>
      <w:r w:rsidR="00EB1E9C" w:rsidRPr="00A63248">
        <w:rPr>
          <w:szCs w:val="26"/>
        </w:rPr>
        <w:t xml:space="preserve"> fallidos</w:t>
      </w:r>
      <w:r w:rsidR="0024516C" w:rsidRPr="00A63248">
        <w:rPr>
          <w:szCs w:val="26"/>
        </w:rPr>
        <w:t xml:space="preserve"> cuando se han detectado la existencia de responsables subsid</w:t>
      </w:r>
      <w:r w:rsidR="00EB1E9C" w:rsidRPr="00A63248">
        <w:rPr>
          <w:szCs w:val="26"/>
        </w:rPr>
        <w:t>i</w:t>
      </w:r>
      <w:r w:rsidR="0024516C" w:rsidRPr="00A63248">
        <w:rPr>
          <w:szCs w:val="26"/>
        </w:rPr>
        <w:t>arios.</w:t>
      </w:r>
    </w:p>
    <w:p w:rsidR="009D03A0" w:rsidRPr="00A63248" w:rsidRDefault="00831CE1" w:rsidP="009D03A0">
      <w:pPr>
        <w:pStyle w:val="texto"/>
        <w:tabs>
          <w:tab w:val="clear" w:pos="2835"/>
          <w:tab w:val="clear" w:pos="3969"/>
          <w:tab w:val="clear" w:pos="5103"/>
          <w:tab w:val="clear" w:pos="6237"/>
          <w:tab w:val="clear" w:pos="7371"/>
        </w:tabs>
        <w:rPr>
          <w:szCs w:val="26"/>
        </w:rPr>
      </w:pPr>
      <w:r w:rsidRPr="00A63248">
        <w:rPr>
          <w:szCs w:val="26"/>
        </w:rPr>
        <w:t>Es importante destacar que esta declaración no impide el ejercicio de la HTN de las acciones pertinentes para permitir el cobro de las deudas y éstas no se dan de baja en el CAT.</w:t>
      </w:r>
      <w:r w:rsidR="009D03A0" w:rsidRPr="00A63248">
        <w:rPr>
          <w:szCs w:val="26"/>
        </w:rPr>
        <w:t xml:space="preserve"> </w:t>
      </w:r>
    </w:p>
    <w:p w:rsidR="006A2986" w:rsidRDefault="006A2986" w:rsidP="00B81482">
      <w:pPr>
        <w:pStyle w:val="texto"/>
        <w:tabs>
          <w:tab w:val="clear" w:pos="2835"/>
          <w:tab w:val="clear" w:pos="3969"/>
          <w:tab w:val="clear" w:pos="5103"/>
          <w:tab w:val="clear" w:pos="6237"/>
          <w:tab w:val="clear" w:pos="7371"/>
        </w:tabs>
        <w:spacing w:after="240"/>
        <w:rPr>
          <w:spacing w:val="4"/>
          <w:szCs w:val="26"/>
        </w:rPr>
      </w:pPr>
      <w:r w:rsidRPr="00A63248">
        <w:rPr>
          <w:szCs w:val="26"/>
        </w:rPr>
        <w:t xml:space="preserve">d) </w:t>
      </w:r>
      <w:r w:rsidR="00C6512D" w:rsidRPr="00A63248">
        <w:rPr>
          <w:b/>
          <w:spacing w:val="4"/>
          <w:szCs w:val="26"/>
        </w:rPr>
        <w:t>Derivación de responsabilidades</w:t>
      </w:r>
      <w:r w:rsidR="00C6512D" w:rsidRPr="00A63248">
        <w:rPr>
          <w:spacing w:val="4"/>
          <w:szCs w:val="26"/>
        </w:rPr>
        <w:t xml:space="preserve">. </w:t>
      </w:r>
      <w:r w:rsidR="00377FCF" w:rsidRPr="00A63248">
        <w:rPr>
          <w:spacing w:val="4"/>
          <w:szCs w:val="26"/>
        </w:rPr>
        <w:t>Demostrada la insolvencia, se investig</w:t>
      </w:r>
      <w:r w:rsidR="00377FCF" w:rsidRPr="00A63248">
        <w:rPr>
          <w:spacing w:val="4"/>
          <w:szCs w:val="26"/>
        </w:rPr>
        <w:t>a</w:t>
      </w:r>
      <w:r w:rsidR="00377FCF" w:rsidRPr="00A63248">
        <w:rPr>
          <w:spacing w:val="4"/>
          <w:szCs w:val="26"/>
        </w:rPr>
        <w:t xml:space="preserve">rá la existencia o no de responsables. </w:t>
      </w:r>
      <w:r w:rsidR="00C6512D" w:rsidRPr="00A63248">
        <w:rPr>
          <w:spacing w:val="4"/>
          <w:szCs w:val="26"/>
        </w:rPr>
        <w:t>Entre 2010 y 2015 se han declarado der</w:t>
      </w:r>
      <w:r w:rsidR="00C6512D" w:rsidRPr="00A63248">
        <w:rPr>
          <w:spacing w:val="4"/>
          <w:szCs w:val="26"/>
        </w:rPr>
        <w:t>i</w:t>
      </w:r>
      <w:r w:rsidR="00C6512D" w:rsidRPr="00A63248">
        <w:rPr>
          <w:spacing w:val="4"/>
          <w:szCs w:val="26"/>
        </w:rPr>
        <w:t>vaciones de responsabilidades –solidarias y subsidiarias</w:t>
      </w:r>
      <w:r w:rsidR="00B81482" w:rsidRPr="00A63248">
        <w:rPr>
          <w:spacing w:val="4"/>
          <w:szCs w:val="26"/>
        </w:rPr>
        <w:t>–</w:t>
      </w:r>
      <w:r w:rsidR="00C6512D" w:rsidRPr="00A63248">
        <w:rPr>
          <w:spacing w:val="4"/>
          <w:szCs w:val="26"/>
        </w:rPr>
        <w:t xml:space="preserve"> en un número</w:t>
      </w:r>
      <w:r w:rsidR="007C48FA" w:rsidRPr="00A63248">
        <w:rPr>
          <w:spacing w:val="4"/>
          <w:szCs w:val="26"/>
        </w:rPr>
        <w:t xml:space="preserve"> de re</w:t>
      </w:r>
      <w:r w:rsidR="007C48FA" w:rsidRPr="00A63248">
        <w:rPr>
          <w:spacing w:val="4"/>
          <w:szCs w:val="26"/>
        </w:rPr>
        <w:t>s</w:t>
      </w:r>
      <w:r w:rsidR="007C48FA" w:rsidRPr="00A63248">
        <w:rPr>
          <w:spacing w:val="4"/>
          <w:szCs w:val="26"/>
        </w:rPr>
        <w:t>ponsables</w:t>
      </w:r>
      <w:r w:rsidR="00C6512D" w:rsidRPr="00A63248">
        <w:rPr>
          <w:spacing w:val="4"/>
          <w:szCs w:val="26"/>
        </w:rPr>
        <w:t xml:space="preserve"> de </w:t>
      </w:r>
      <w:r w:rsidR="007C48FA" w:rsidRPr="00A63248">
        <w:rPr>
          <w:spacing w:val="4"/>
          <w:szCs w:val="26"/>
        </w:rPr>
        <w:t>353</w:t>
      </w:r>
      <w:r w:rsidR="00C6512D" w:rsidRPr="00A63248">
        <w:rPr>
          <w:spacing w:val="4"/>
          <w:szCs w:val="26"/>
        </w:rPr>
        <w:t xml:space="preserve">, cuya deuda </w:t>
      </w:r>
      <w:r w:rsidR="004A7042" w:rsidRPr="00A63248">
        <w:rPr>
          <w:spacing w:val="4"/>
          <w:szCs w:val="26"/>
        </w:rPr>
        <w:t xml:space="preserve">derivada </w:t>
      </w:r>
      <w:r w:rsidR="00C6512D" w:rsidRPr="00A63248">
        <w:rPr>
          <w:spacing w:val="4"/>
          <w:szCs w:val="26"/>
        </w:rPr>
        <w:t>asciende a 16,81 millones. De esta deuda</w:t>
      </w:r>
      <w:r w:rsidR="00D567A8" w:rsidRPr="00A63248">
        <w:rPr>
          <w:spacing w:val="4"/>
          <w:szCs w:val="26"/>
        </w:rPr>
        <w:t>, se ha aplazado un total de 1,89 millones y</w:t>
      </w:r>
      <w:r w:rsidR="00C6512D" w:rsidRPr="00A63248">
        <w:rPr>
          <w:spacing w:val="4"/>
          <w:szCs w:val="26"/>
        </w:rPr>
        <w:t xml:space="preserve"> se ha cobrado un total de 4,</w:t>
      </w:r>
      <w:r w:rsidR="004A7042" w:rsidRPr="00A63248">
        <w:rPr>
          <w:spacing w:val="4"/>
          <w:szCs w:val="26"/>
        </w:rPr>
        <w:t>65</w:t>
      </w:r>
      <w:r w:rsidR="00C6512D" w:rsidRPr="00A63248">
        <w:rPr>
          <w:spacing w:val="4"/>
          <w:szCs w:val="26"/>
        </w:rPr>
        <w:t xml:space="preserve"> mill</w:t>
      </w:r>
      <w:r w:rsidR="00C6512D" w:rsidRPr="00A63248">
        <w:rPr>
          <w:spacing w:val="4"/>
          <w:szCs w:val="26"/>
        </w:rPr>
        <w:t>o</w:t>
      </w:r>
      <w:r w:rsidR="00C6512D" w:rsidRPr="00A63248">
        <w:rPr>
          <w:spacing w:val="4"/>
          <w:szCs w:val="26"/>
        </w:rPr>
        <w:t>nes, según el siguiente deta</w:t>
      </w:r>
      <w:r w:rsidRPr="00A63248">
        <w:rPr>
          <w:spacing w:val="4"/>
          <w:szCs w:val="26"/>
        </w:rPr>
        <w:t>lle:</w:t>
      </w:r>
    </w:p>
    <w:p w:rsidR="00C04A6A" w:rsidRPr="00A63248" w:rsidRDefault="00C04A6A" w:rsidP="00B81482">
      <w:pPr>
        <w:pStyle w:val="texto"/>
        <w:tabs>
          <w:tab w:val="clear" w:pos="2835"/>
          <w:tab w:val="clear" w:pos="3969"/>
          <w:tab w:val="clear" w:pos="5103"/>
          <w:tab w:val="clear" w:pos="6237"/>
          <w:tab w:val="clear" w:pos="7371"/>
        </w:tabs>
        <w:spacing w:after="240"/>
        <w:rPr>
          <w:spacing w:val="4"/>
          <w:szCs w:val="26"/>
        </w:rPr>
      </w:pPr>
    </w:p>
    <w:tbl>
      <w:tblPr>
        <w:tblW w:w="8703" w:type="dxa"/>
        <w:jc w:val="center"/>
        <w:tblCellMar>
          <w:left w:w="0" w:type="dxa"/>
          <w:right w:w="0" w:type="dxa"/>
        </w:tblCellMar>
        <w:tblLook w:val="04A0" w:firstRow="1" w:lastRow="0" w:firstColumn="1" w:lastColumn="0" w:noHBand="0" w:noVBand="1"/>
      </w:tblPr>
      <w:tblGrid>
        <w:gridCol w:w="2216"/>
        <w:gridCol w:w="1700"/>
        <w:gridCol w:w="1543"/>
        <w:gridCol w:w="1710"/>
        <w:gridCol w:w="1534"/>
      </w:tblGrid>
      <w:tr w:rsidR="007C48FA" w:rsidRPr="00B81482" w:rsidTr="00FF2612">
        <w:trPr>
          <w:trHeight w:val="255"/>
          <w:jc w:val="center"/>
        </w:trPr>
        <w:tc>
          <w:tcPr>
            <w:tcW w:w="2216" w:type="dxa"/>
            <w:tcBorders>
              <w:top w:val="single" w:sz="4" w:space="0" w:color="auto"/>
              <w:bottom w:val="single" w:sz="4" w:space="0" w:color="auto"/>
            </w:tcBorders>
            <w:shd w:val="clear" w:color="auto" w:fill="A8CBEE" w:themeFill="accent2" w:themeFillTint="66"/>
            <w:noWrap/>
            <w:tcMar>
              <w:top w:w="0" w:type="dxa"/>
              <w:left w:w="70" w:type="dxa"/>
              <w:bottom w:w="0" w:type="dxa"/>
              <w:right w:w="70" w:type="dxa"/>
            </w:tcMar>
            <w:vAlign w:val="center"/>
            <w:hideMark/>
          </w:tcPr>
          <w:p w:rsidR="004A7042" w:rsidRPr="00B81482" w:rsidRDefault="004A7042" w:rsidP="00305A86">
            <w:pPr>
              <w:spacing w:after="0"/>
              <w:ind w:firstLine="0"/>
              <w:jc w:val="left"/>
              <w:rPr>
                <w:rFonts w:ascii="Arial" w:hAnsi="Arial" w:cs="Arial"/>
                <w:bCs/>
                <w:sz w:val="18"/>
                <w:szCs w:val="18"/>
                <w:lang w:val="es-ES" w:eastAsia="es-ES"/>
              </w:rPr>
            </w:pPr>
            <w:r w:rsidRPr="00B81482">
              <w:rPr>
                <w:rFonts w:ascii="Arial" w:hAnsi="Arial" w:cs="Arial"/>
                <w:bCs/>
                <w:sz w:val="18"/>
                <w:szCs w:val="18"/>
                <w:lang w:val="es-ES" w:eastAsia="es-ES"/>
              </w:rPr>
              <w:lastRenderedPageBreak/>
              <w:t>Ejercicio</w:t>
            </w:r>
          </w:p>
        </w:tc>
        <w:tc>
          <w:tcPr>
            <w:tcW w:w="1700" w:type="dxa"/>
            <w:tcBorders>
              <w:top w:val="single" w:sz="4" w:space="0" w:color="auto"/>
              <w:bottom w:val="single" w:sz="4" w:space="0" w:color="auto"/>
            </w:tcBorders>
            <w:shd w:val="clear" w:color="auto" w:fill="A8CBEE" w:themeFill="accent2" w:themeFillTint="66"/>
            <w:vAlign w:val="center"/>
          </w:tcPr>
          <w:p w:rsidR="004A7042" w:rsidRPr="00B81482" w:rsidRDefault="004A7042" w:rsidP="00B81482">
            <w:pPr>
              <w:spacing w:after="0"/>
              <w:ind w:right="68" w:firstLine="0"/>
              <w:jc w:val="right"/>
              <w:rPr>
                <w:rFonts w:ascii="Arial" w:hAnsi="Arial" w:cs="Arial"/>
                <w:bCs/>
                <w:sz w:val="18"/>
                <w:szCs w:val="18"/>
                <w:lang w:val="es-ES" w:eastAsia="es-ES"/>
              </w:rPr>
            </w:pPr>
            <w:r w:rsidRPr="00B81482">
              <w:rPr>
                <w:rFonts w:ascii="Arial" w:hAnsi="Arial" w:cs="Arial"/>
                <w:bCs/>
                <w:sz w:val="18"/>
                <w:szCs w:val="18"/>
                <w:lang w:val="es-ES" w:eastAsia="es-ES"/>
              </w:rPr>
              <w:t>N</w:t>
            </w:r>
            <w:r w:rsidR="00B81482" w:rsidRPr="00B81482">
              <w:rPr>
                <w:rFonts w:ascii="Arial" w:hAnsi="Arial" w:cs="Arial"/>
                <w:bCs/>
                <w:sz w:val="18"/>
                <w:szCs w:val="18"/>
                <w:lang w:val="es-ES" w:eastAsia="es-ES"/>
              </w:rPr>
              <w:t>º</w:t>
            </w:r>
            <w:r w:rsidRPr="00B81482">
              <w:rPr>
                <w:rFonts w:ascii="Arial" w:hAnsi="Arial" w:cs="Arial"/>
                <w:bCs/>
                <w:sz w:val="18"/>
                <w:szCs w:val="18"/>
                <w:lang w:val="es-ES" w:eastAsia="es-ES"/>
              </w:rPr>
              <w:t xml:space="preserve"> responsables</w:t>
            </w:r>
          </w:p>
        </w:tc>
        <w:tc>
          <w:tcPr>
            <w:tcW w:w="1543" w:type="dxa"/>
            <w:tcBorders>
              <w:top w:val="single" w:sz="4" w:space="0" w:color="auto"/>
              <w:bottom w:val="single" w:sz="4" w:space="0" w:color="auto"/>
            </w:tcBorders>
            <w:shd w:val="clear" w:color="auto" w:fill="A8CBEE" w:themeFill="accent2" w:themeFillTint="66"/>
            <w:vAlign w:val="center"/>
          </w:tcPr>
          <w:p w:rsidR="004A7042" w:rsidRPr="00B81482" w:rsidRDefault="004A7042" w:rsidP="00B81482">
            <w:pPr>
              <w:spacing w:after="0"/>
              <w:ind w:firstLine="0"/>
              <w:jc w:val="right"/>
              <w:rPr>
                <w:rFonts w:ascii="Arial" w:hAnsi="Arial" w:cs="Arial"/>
                <w:bCs/>
                <w:sz w:val="18"/>
                <w:szCs w:val="18"/>
                <w:lang w:val="es-ES" w:eastAsia="es-ES"/>
              </w:rPr>
            </w:pPr>
            <w:r w:rsidRPr="00B81482">
              <w:rPr>
                <w:rFonts w:ascii="Arial" w:hAnsi="Arial" w:cs="Arial"/>
                <w:bCs/>
                <w:sz w:val="18"/>
                <w:szCs w:val="18"/>
                <w:lang w:val="es-ES" w:eastAsia="es-ES"/>
              </w:rPr>
              <w:t>Deuda derivada</w:t>
            </w:r>
          </w:p>
        </w:tc>
        <w:tc>
          <w:tcPr>
            <w:tcW w:w="1710" w:type="dxa"/>
            <w:tcBorders>
              <w:top w:val="single" w:sz="4" w:space="0" w:color="auto"/>
              <w:bottom w:val="single" w:sz="4" w:space="0" w:color="auto"/>
            </w:tcBorders>
            <w:shd w:val="clear" w:color="auto" w:fill="A8CBEE" w:themeFill="accent2" w:themeFillTint="66"/>
            <w:noWrap/>
            <w:tcMar>
              <w:top w:w="0" w:type="dxa"/>
              <w:left w:w="70" w:type="dxa"/>
              <w:bottom w:w="0" w:type="dxa"/>
              <w:right w:w="70" w:type="dxa"/>
            </w:tcMar>
            <w:vAlign w:val="center"/>
            <w:hideMark/>
          </w:tcPr>
          <w:p w:rsidR="004A7042" w:rsidRPr="00B81482" w:rsidRDefault="004A7042" w:rsidP="00B81482">
            <w:pPr>
              <w:spacing w:after="0"/>
              <w:ind w:firstLine="0"/>
              <w:jc w:val="right"/>
              <w:rPr>
                <w:rFonts w:ascii="Arial" w:hAnsi="Arial" w:cs="Arial"/>
                <w:bCs/>
                <w:sz w:val="18"/>
                <w:szCs w:val="18"/>
                <w:lang w:val="es-ES" w:eastAsia="es-ES"/>
              </w:rPr>
            </w:pPr>
            <w:r w:rsidRPr="00B81482">
              <w:rPr>
                <w:rFonts w:ascii="Arial" w:hAnsi="Arial" w:cs="Arial"/>
                <w:bCs/>
                <w:sz w:val="18"/>
                <w:szCs w:val="18"/>
                <w:lang w:val="es-ES" w:eastAsia="es-ES"/>
              </w:rPr>
              <w:t>Cobrada</w:t>
            </w:r>
          </w:p>
        </w:tc>
        <w:tc>
          <w:tcPr>
            <w:tcW w:w="1534" w:type="dxa"/>
            <w:tcBorders>
              <w:top w:val="single" w:sz="4" w:space="0" w:color="auto"/>
              <w:bottom w:val="single" w:sz="4" w:space="0" w:color="auto"/>
            </w:tcBorders>
            <w:shd w:val="clear" w:color="auto" w:fill="A8CBEE" w:themeFill="accent2" w:themeFillTint="66"/>
            <w:vAlign w:val="center"/>
          </w:tcPr>
          <w:p w:rsidR="004A7042" w:rsidRPr="00B81482" w:rsidRDefault="004A7042" w:rsidP="00B81482">
            <w:pPr>
              <w:spacing w:after="0"/>
              <w:ind w:firstLine="0"/>
              <w:jc w:val="right"/>
              <w:rPr>
                <w:rFonts w:ascii="Arial" w:hAnsi="Arial" w:cs="Arial"/>
                <w:bCs/>
                <w:sz w:val="18"/>
                <w:szCs w:val="18"/>
                <w:lang w:val="es-ES" w:eastAsia="es-ES"/>
              </w:rPr>
            </w:pPr>
            <w:r w:rsidRPr="00B81482">
              <w:rPr>
                <w:rFonts w:ascii="Arial" w:hAnsi="Arial" w:cs="Arial"/>
                <w:bCs/>
                <w:sz w:val="18"/>
                <w:szCs w:val="18"/>
                <w:lang w:val="es-ES" w:eastAsia="es-ES"/>
              </w:rPr>
              <w:t>Aplazada</w:t>
            </w:r>
          </w:p>
        </w:tc>
      </w:tr>
      <w:tr w:rsidR="007C48FA" w:rsidRPr="007C48FA" w:rsidTr="00FF2612">
        <w:trPr>
          <w:trHeight w:val="255"/>
          <w:jc w:val="center"/>
        </w:trPr>
        <w:tc>
          <w:tcPr>
            <w:tcW w:w="2216" w:type="dxa"/>
            <w:tcBorders>
              <w:top w:val="single" w:sz="4" w:space="0" w:color="auto"/>
              <w:bottom w:val="single" w:sz="2" w:space="0" w:color="auto"/>
            </w:tcBorders>
            <w:noWrap/>
            <w:tcMar>
              <w:top w:w="0" w:type="dxa"/>
              <w:left w:w="70" w:type="dxa"/>
              <w:bottom w:w="0" w:type="dxa"/>
              <w:right w:w="70" w:type="dxa"/>
            </w:tcMar>
            <w:vAlign w:val="center"/>
            <w:hideMark/>
          </w:tcPr>
          <w:p w:rsidR="004A7042" w:rsidRPr="004E2FAA" w:rsidRDefault="004A7042" w:rsidP="004E2FAA">
            <w:pPr>
              <w:pStyle w:val="cuatexto"/>
              <w:jc w:val="left"/>
            </w:pPr>
            <w:r w:rsidRPr="004E2FAA">
              <w:t>2010</w:t>
            </w:r>
          </w:p>
        </w:tc>
        <w:tc>
          <w:tcPr>
            <w:tcW w:w="1700" w:type="dxa"/>
            <w:tcBorders>
              <w:top w:val="single" w:sz="4" w:space="0" w:color="auto"/>
              <w:bottom w:val="single" w:sz="2" w:space="0" w:color="auto"/>
            </w:tcBorders>
            <w:vAlign w:val="center"/>
          </w:tcPr>
          <w:p w:rsidR="004A7042" w:rsidRPr="004E2FAA" w:rsidRDefault="004A7042" w:rsidP="00B81482">
            <w:pPr>
              <w:pStyle w:val="cuatexto"/>
              <w:jc w:val="right"/>
            </w:pPr>
            <w:r w:rsidRPr="004E2FAA">
              <w:t>18</w:t>
            </w:r>
          </w:p>
        </w:tc>
        <w:tc>
          <w:tcPr>
            <w:tcW w:w="1543" w:type="dxa"/>
            <w:tcBorders>
              <w:top w:val="single" w:sz="4" w:space="0" w:color="auto"/>
              <w:bottom w:val="single" w:sz="2" w:space="0" w:color="auto"/>
            </w:tcBorders>
            <w:vAlign w:val="center"/>
          </w:tcPr>
          <w:p w:rsidR="004A7042" w:rsidRPr="004E2FAA" w:rsidRDefault="004A7042" w:rsidP="00B81482">
            <w:pPr>
              <w:pStyle w:val="cuatexto"/>
              <w:jc w:val="right"/>
            </w:pPr>
            <w:r w:rsidRPr="004E2FAA">
              <w:t>1.767.578</w:t>
            </w:r>
          </w:p>
        </w:tc>
        <w:tc>
          <w:tcPr>
            <w:tcW w:w="1710" w:type="dxa"/>
            <w:tcBorders>
              <w:top w:val="single" w:sz="4" w:space="0" w:color="auto"/>
              <w:bottom w:val="single" w:sz="2" w:space="0" w:color="auto"/>
            </w:tcBorders>
            <w:noWrap/>
            <w:tcMar>
              <w:top w:w="0" w:type="dxa"/>
              <w:left w:w="70" w:type="dxa"/>
              <w:bottom w:w="0" w:type="dxa"/>
              <w:right w:w="70" w:type="dxa"/>
            </w:tcMar>
            <w:vAlign w:val="center"/>
          </w:tcPr>
          <w:p w:rsidR="004A7042" w:rsidRPr="004E2FAA" w:rsidRDefault="004A7042" w:rsidP="00B81482">
            <w:pPr>
              <w:pStyle w:val="cuatexto"/>
              <w:jc w:val="right"/>
            </w:pPr>
            <w:r w:rsidRPr="004E2FAA">
              <w:t>1.036.499</w:t>
            </w:r>
          </w:p>
        </w:tc>
        <w:tc>
          <w:tcPr>
            <w:tcW w:w="1534" w:type="dxa"/>
            <w:tcBorders>
              <w:top w:val="single" w:sz="4" w:space="0" w:color="auto"/>
              <w:bottom w:val="single" w:sz="2" w:space="0" w:color="auto"/>
            </w:tcBorders>
            <w:vAlign w:val="center"/>
          </w:tcPr>
          <w:p w:rsidR="004A7042" w:rsidRPr="004E2FAA" w:rsidRDefault="004A7042" w:rsidP="00B81482">
            <w:pPr>
              <w:pStyle w:val="cuatexto"/>
              <w:jc w:val="right"/>
            </w:pPr>
            <w:r w:rsidRPr="004E2FAA">
              <w:t>-</w:t>
            </w:r>
          </w:p>
        </w:tc>
      </w:tr>
      <w:tr w:rsidR="007C48FA" w:rsidRPr="007C48FA" w:rsidTr="00FF2612">
        <w:trPr>
          <w:trHeight w:val="255"/>
          <w:jc w:val="center"/>
        </w:trPr>
        <w:tc>
          <w:tcPr>
            <w:tcW w:w="2216" w:type="dxa"/>
            <w:tcBorders>
              <w:top w:val="single" w:sz="2" w:space="0" w:color="auto"/>
              <w:bottom w:val="single" w:sz="2" w:space="0" w:color="auto"/>
            </w:tcBorders>
            <w:noWrap/>
            <w:tcMar>
              <w:top w:w="0" w:type="dxa"/>
              <w:left w:w="70" w:type="dxa"/>
              <w:bottom w:w="0" w:type="dxa"/>
              <w:right w:w="70" w:type="dxa"/>
            </w:tcMar>
            <w:vAlign w:val="center"/>
            <w:hideMark/>
          </w:tcPr>
          <w:p w:rsidR="004A7042" w:rsidRPr="004E2FAA" w:rsidRDefault="004A7042" w:rsidP="004E2FAA">
            <w:pPr>
              <w:pStyle w:val="cuatexto"/>
              <w:jc w:val="left"/>
            </w:pPr>
            <w:r w:rsidRPr="004E2FAA">
              <w:t>2011</w:t>
            </w:r>
          </w:p>
        </w:tc>
        <w:tc>
          <w:tcPr>
            <w:tcW w:w="1700" w:type="dxa"/>
            <w:tcBorders>
              <w:top w:val="single" w:sz="2" w:space="0" w:color="auto"/>
              <w:bottom w:val="single" w:sz="2" w:space="0" w:color="auto"/>
            </w:tcBorders>
            <w:vAlign w:val="center"/>
          </w:tcPr>
          <w:p w:rsidR="004A7042" w:rsidRPr="004E2FAA" w:rsidRDefault="004A7042" w:rsidP="00B81482">
            <w:pPr>
              <w:pStyle w:val="cuatexto"/>
              <w:jc w:val="right"/>
            </w:pPr>
            <w:r w:rsidRPr="004E2FAA">
              <w:t>24</w:t>
            </w:r>
          </w:p>
        </w:tc>
        <w:tc>
          <w:tcPr>
            <w:tcW w:w="1543" w:type="dxa"/>
            <w:tcBorders>
              <w:top w:val="single" w:sz="2" w:space="0" w:color="auto"/>
              <w:bottom w:val="single" w:sz="2" w:space="0" w:color="auto"/>
            </w:tcBorders>
            <w:vAlign w:val="center"/>
          </w:tcPr>
          <w:p w:rsidR="004A7042" w:rsidRPr="004E2FAA" w:rsidRDefault="004A7042" w:rsidP="00B81482">
            <w:pPr>
              <w:pStyle w:val="cuatexto"/>
              <w:jc w:val="right"/>
            </w:pPr>
            <w:r w:rsidRPr="004E2FAA">
              <w:t>2.029.562</w:t>
            </w:r>
          </w:p>
        </w:tc>
        <w:tc>
          <w:tcPr>
            <w:tcW w:w="1710" w:type="dxa"/>
            <w:tcBorders>
              <w:top w:val="single" w:sz="2" w:space="0" w:color="auto"/>
              <w:bottom w:val="single" w:sz="2" w:space="0" w:color="auto"/>
            </w:tcBorders>
            <w:noWrap/>
            <w:tcMar>
              <w:top w:w="0" w:type="dxa"/>
              <w:left w:w="70" w:type="dxa"/>
              <w:bottom w:w="0" w:type="dxa"/>
              <w:right w:w="70" w:type="dxa"/>
            </w:tcMar>
            <w:vAlign w:val="center"/>
          </w:tcPr>
          <w:p w:rsidR="004A7042" w:rsidRPr="004E2FAA" w:rsidRDefault="004A7042" w:rsidP="00B81482">
            <w:pPr>
              <w:pStyle w:val="cuatexto"/>
              <w:jc w:val="right"/>
            </w:pPr>
            <w:r w:rsidRPr="004E2FAA">
              <w:t>430.134</w:t>
            </w:r>
          </w:p>
        </w:tc>
        <w:tc>
          <w:tcPr>
            <w:tcW w:w="1534" w:type="dxa"/>
            <w:tcBorders>
              <w:top w:val="single" w:sz="2" w:space="0" w:color="auto"/>
              <w:bottom w:val="single" w:sz="2" w:space="0" w:color="auto"/>
            </w:tcBorders>
            <w:vAlign w:val="center"/>
          </w:tcPr>
          <w:p w:rsidR="004A7042" w:rsidRPr="004E2FAA" w:rsidRDefault="004A7042" w:rsidP="00B81482">
            <w:pPr>
              <w:pStyle w:val="cuatexto"/>
              <w:jc w:val="right"/>
            </w:pPr>
            <w:r w:rsidRPr="004E2FAA">
              <w:t>384.716</w:t>
            </w:r>
          </w:p>
        </w:tc>
      </w:tr>
      <w:tr w:rsidR="007C48FA" w:rsidRPr="007C48FA" w:rsidTr="00FF2612">
        <w:trPr>
          <w:trHeight w:val="255"/>
          <w:jc w:val="center"/>
        </w:trPr>
        <w:tc>
          <w:tcPr>
            <w:tcW w:w="2216" w:type="dxa"/>
            <w:tcBorders>
              <w:top w:val="single" w:sz="2" w:space="0" w:color="auto"/>
              <w:bottom w:val="single" w:sz="2" w:space="0" w:color="auto"/>
            </w:tcBorders>
            <w:noWrap/>
            <w:tcMar>
              <w:top w:w="0" w:type="dxa"/>
              <w:left w:w="70" w:type="dxa"/>
              <w:bottom w:w="0" w:type="dxa"/>
              <w:right w:w="70" w:type="dxa"/>
            </w:tcMar>
            <w:vAlign w:val="center"/>
            <w:hideMark/>
          </w:tcPr>
          <w:p w:rsidR="004A7042" w:rsidRPr="004E2FAA" w:rsidRDefault="004A7042" w:rsidP="004E2FAA">
            <w:pPr>
              <w:pStyle w:val="cuatexto"/>
              <w:jc w:val="left"/>
            </w:pPr>
            <w:r w:rsidRPr="004E2FAA">
              <w:t>2012</w:t>
            </w:r>
          </w:p>
        </w:tc>
        <w:tc>
          <w:tcPr>
            <w:tcW w:w="1700" w:type="dxa"/>
            <w:tcBorders>
              <w:top w:val="single" w:sz="2" w:space="0" w:color="auto"/>
              <w:bottom w:val="single" w:sz="2" w:space="0" w:color="auto"/>
            </w:tcBorders>
            <w:vAlign w:val="center"/>
          </w:tcPr>
          <w:p w:rsidR="004A7042" w:rsidRPr="004E2FAA" w:rsidRDefault="004A7042" w:rsidP="00B81482">
            <w:pPr>
              <w:pStyle w:val="cuatexto"/>
              <w:jc w:val="right"/>
            </w:pPr>
            <w:r w:rsidRPr="004E2FAA">
              <w:t>58</w:t>
            </w:r>
          </w:p>
        </w:tc>
        <w:tc>
          <w:tcPr>
            <w:tcW w:w="1543" w:type="dxa"/>
            <w:tcBorders>
              <w:top w:val="single" w:sz="2" w:space="0" w:color="auto"/>
              <w:bottom w:val="single" w:sz="2" w:space="0" w:color="auto"/>
            </w:tcBorders>
            <w:vAlign w:val="center"/>
          </w:tcPr>
          <w:p w:rsidR="004A7042" w:rsidRPr="004E2FAA" w:rsidRDefault="004A7042" w:rsidP="00B81482">
            <w:pPr>
              <w:pStyle w:val="cuatexto"/>
              <w:jc w:val="right"/>
            </w:pPr>
            <w:r w:rsidRPr="004E2FAA">
              <w:t>4.842.669</w:t>
            </w:r>
          </w:p>
        </w:tc>
        <w:tc>
          <w:tcPr>
            <w:tcW w:w="1710" w:type="dxa"/>
            <w:tcBorders>
              <w:top w:val="single" w:sz="2" w:space="0" w:color="auto"/>
              <w:bottom w:val="single" w:sz="2" w:space="0" w:color="auto"/>
            </w:tcBorders>
            <w:noWrap/>
            <w:tcMar>
              <w:top w:w="0" w:type="dxa"/>
              <w:left w:w="70" w:type="dxa"/>
              <w:bottom w:w="0" w:type="dxa"/>
              <w:right w:w="70" w:type="dxa"/>
            </w:tcMar>
            <w:vAlign w:val="center"/>
          </w:tcPr>
          <w:p w:rsidR="004A7042" w:rsidRPr="004E2FAA" w:rsidRDefault="004A7042" w:rsidP="00B81482">
            <w:pPr>
              <w:pStyle w:val="cuatexto"/>
              <w:jc w:val="right"/>
            </w:pPr>
            <w:r w:rsidRPr="004E2FAA">
              <w:t>492.875</w:t>
            </w:r>
          </w:p>
        </w:tc>
        <w:tc>
          <w:tcPr>
            <w:tcW w:w="1534" w:type="dxa"/>
            <w:tcBorders>
              <w:top w:val="single" w:sz="2" w:space="0" w:color="auto"/>
              <w:bottom w:val="single" w:sz="2" w:space="0" w:color="auto"/>
            </w:tcBorders>
            <w:vAlign w:val="center"/>
          </w:tcPr>
          <w:p w:rsidR="004A7042" w:rsidRPr="004E2FAA" w:rsidRDefault="004A7042" w:rsidP="00B81482">
            <w:pPr>
              <w:pStyle w:val="cuatexto"/>
              <w:jc w:val="right"/>
            </w:pPr>
            <w:r w:rsidRPr="004E2FAA">
              <w:t>198.239</w:t>
            </w:r>
          </w:p>
        </w:tc>
      </w:tr>
      <w:tr w:rsidR="007C48FA" w:rsidRPr="007C48FA" w:rsidTr="00FF2612">
        <w:trPr>
          <w:trHeight w:val="255"/>
          <w:jc w:val="center"/>
        </w:trPr>
        <w:tc>
          <w:tcPr>
            <w:tcW w:w="2216" w:type="dxa"/>
            <w:tcBorders>
              <w:top w:val="single" w:sz="2" w:space="0" w:color="auto"/>
              <w:bottom w:val="single" w:sz="2" w:space="0" w:color="auto"/>
            </w:tcBorders>
            <w:noWrap/>
            <w:tcMar>
              <w:top w:w="0" w:type="dxa"/>
              <w:left w:w="70" w:type="dxa"/>
              <w:bottom w:w="0" w:type="dxa"/>
              <w:right w:w="70" w:type="dxa"/>
            </w:tcMar>
            <w:vAlign w:val="center"/>
            <w:hideMark/>
          </w:tcPr>
          <w:p w:rsidR="004A7042" w:rsidRPr="004E2FAA" w:rsidRDefault="004A7042" w:rsidP="004E2FAA">
            <w:pPr>
              <w:pStyle w:val="cuatexto"/>
              <w:jc w:val="left"/>
            </w:pPr>
            <w:r w:rsidRPr="004E2FAA">
              <w:t>2013</w:t>
            </w:r>
          </w:p>
        </w:tc>
        <w:tc>
          <w:tcPr>
            <w:tcW w:w="1700" w:type="dxa"/>
            <w:tcBorders>
              <w:top w:val="single" w:sz="2" w:space="0" w:color="auto"/>
              <w:bottom w:val="single" w:sz="2" w:space="0" w:color="auto"/>
            </w:tcBorders>
            <w:vAlign w:val="center"/>
          </w:tcPr>
          <w:p w:rsidR="004A7042" w:rsidRPr="004E2FAA" w:rsidRDefault="004A7042" w:rsidP="00B81482">
            <w:pPr>
              <w:pStyle w:val="cuatexto"/>
              <w:jc w:val="right"/>
            </w:pPr>
            <w:r w:rsidRPr="004E2FAA">
              <w:t>91</w:t>
            </w:r>
          </w:p>
        </w:tc>
        <w:tc>
          <w:tcPr>
            <w:tcW w:w="1543" w:type="dxa"/>
            <w:tcBorders>
              <w:top w:val="single" w:sz="2" w:space="0" w:color="auto"/>
              <w:bottom w:val="single" w:sz="2" w:space="0" w:color="auto"/>
            </w:tcBorders>
            <w:vAlign w:val="center"/>
          </w:tcPr>
          <w:p w:rsidR="004A7042" w:rsidRPr="004E2FAA" w:rsidRDefault="004A7042" w:rsidP="00B81482">
            <w:pPr>
              <w:pStyle w:val="cuatexto"/>
              <w:jc w:val="right"/>
            </w:pPr>
            <w:r w:rsidRPr="004E2FAA">
              <w:t>2.805.572</w:t>
            </w:r>
          </w:p>
        </w:tc>
        <w:tc>
          <w:tcPr>
            <w:tcW w:w="1710" w:type="dxa"/>
            <w:tcBorders>
              <w:top w:val="single" w:sz="2" w:space="0" w:color="auto"/>
              <w:bottom w:val="single" w:sz="2" w:space="0" w:color="auto"/>
            </w:tcBorders>
            <w:noWrap/>
            <w:tcMar>
              <w:top w:w="0" w:type="dxa"/>
              <w:left w:w="70" w:type="dxa"/>
              <w:bottom w:w="0" w:type="dxa"/>
              <w:right w:w="70" w:type="dxa"/>
            </w:tcMar>
            <w:vAlign w:val="center"/>
          </w:tcPr>
          <w:p w:rsidR="004A7042" w:rsidRPr="004E2FAA" w:rsidRDefault="004A7042" w:rsidP="00B81482">
            <w:pPr>
              <w:pStyle w:val="cuatexto"/>
              <w:jc w:val="right"/>
            </w:pPr>
            <w:r w:rsidRPr="004E2FAA">
              <w:t>789.749</w:t>
            </w:r>
          </w:p>
        </w:tc>
        <w:tc>
          <w:tcPr>
            <w:tcW w:w="1534" w:type="dxa"/>
            <w:tcBorders>
              <w:top w:val="single" w:sz="2" w:space="0" w:color="auto"/>
              <w:bottom w:val="single" w:sz="2" w:space="0" w:color="auto"/>
            </w:tcBorders>
            <w:vAlign w:val="center"/>
          </w:tcPr>
          <w:p w:rsidR="004A7042" w:rsidRPr="004E2FAA" w:rsidRDefault="004A7042" w:rsidP="00B81482">
            <w:pPr>
              <w:pStyle w:val="cuatexto"/>
              <w:jc w:val="right"/>
            </w:pPr>
            <w:r w:rsidRPr="004E2FAA">
              <w:t>625.887</w:t>
            </w:r>
          </w:p>
        </w:tc>
      </w:tr>
      <w:tr w:rsidR="007C48FA" w:rsidRPr="007C48FA" w:rsidTr="00FF2612">
        <w:trPr>
          <w:trHeight w:val="255"/>
          <w:jc w:val="center"/>
        </w:trPr>
        <w:tc>
          <w:tcPr>
            <w:tcW w:w="2216" w:type="dxa"/>
            <w:tcBorders>
              <w:top w:val="single" w:sz="2" w:space="0" w:color="auto"/>
              <w:bottom w:val="single" w:sz="2" w:space="0" w:color="auto"/>
            </w:tcBorders>
            <w:noWrap/>
            <w:tcMar>
              <w:top w:w="0" w:type="dxa"/>
              <w:left w:w="70" w:type="dxa"/>
              <w:bottom w:w="0" w:type="dxa"/>
              <w:right w:w="70" w:type="dxa"/>
            </w:tcMar>
            <w:vAlign w:val="center"/>
            <w:hideMark/>
          </w:tcPr>
          <w:p w:rsidR="004A7042" w:rsidRPr="004E2FAA" w:rsidRDefault="004A7042" w:rsidP="004E2FAA">
            <w:pPr>
              <w:pStyle w:val="cuatexto"/>
              <w:jc w:val="left"/>
            </w:pPr>
            <w:r w:rsidRPr="004E2FAA">
              <w:t>2014</w:t>
            </w:r>
          </w:p>
        </w:tc>
        <w:tc>
          <w:tcPr>
            <w:tcW w:w="1700" w:type="dxa"/>
            <w:tcBorders>
              <w:top w:val="single" w:sz="2" w:space="0" w:color="auto"/>
              <w:bottom w:val="single" w:sz="2" w:space="0" w:color="auto"/>
            </w:tcBorders>
            <w:vAlign w:val="center"/>
          </w:tcPr>
          <w:p w:rsidR="004A7042" w:rsidRPr="004E2FAA" w:rsidRDefault="007C48FA" w:rsidP="00B81482">
            <w:pPr>
              <w:pStyle w:val="cuatexto"/>
              <w:jc w:val="right"/>
            </w:pPr>
            <w:r w:rsidRPr="004E2FAA">
              <w:t>65</w:t>
            </w:r>
          </w:p>
        </w:tc>
        <w:tc>
          <w:tcPr>
            <w:tcW w:w="1543" w:type="dxa"/>
            <w:tcBorders>
              <w:top w:val="single" w:sz="2" w:space="0" w:color="auto"/>
              <w:bottom w:val="single" w:sz="2" w:space="0" w:color="auto"/>
            </w:tcBorders>
            <w:vAlign w:val="center"/>
          </w:tcPr>
          <w:p w:rsidR="004A7042" w:rsidRPr="004E2FAA" w:rsidRDefault="007C48FA" w:rsidP="00B81482">
            <w:pPr>
              <w:pStyle w:val="cuatexto"/>
              <w:jc w:val="right"/>
            </w:pPr>
            <w:r w:rsidRPr="004E2FAA">
              <w:t>3.252.882</w:t>
            </w:r>
          </w:p>
        </w:tc>
        <w:tc>
          <w:tcPr>
            <w:tcW w:w="1710" w:type="dxa"/>
            <w:tcBorders>
              <w:top w:val="single" w:sz="2" w:space="0" w:color="auto"/>
              <w:bottom w:val="single" w:sz="2" w:space="0" w:color="auto"/>
            </w:tcBorders>
            <w:noWrap/>
            <w:tcMar>
              <w:top w:w="0" w:type="dxa"/>
              <w:left w:w="70" w:type="dxa"/>
              <w:bottom w:w="0" w:type="dxa"/>
              <w:right w:w="70" w:type="dxa"/>
            </w:tcMar>
            <w:vAlign w:val="center"/>
          </w:tcPr>
          <w:p w:rsidR="004A7042" w:rsidRPr="004E2FAA" w:rsidRDefault="007C48FA" w:rsidP="00B81482">
            <w:pPr>
              <w:pStyle w:val="cuatexto"/>
              <w:jc w:val="right"/>
            </w:pPr>
            <w:r w:rsidRPr="004E2FAA">
              <w:t>1.203.974</w:t>
            </w:r>
          </w:p>
        </w:tc>
        <w:tc>
          <w:tcPr>
            <w:tcW w:w="1534" w:type="dxa"/>
            <w:tcBorders>
              <w:top w:val="single" w:sz="2" w:space="0" w:color="auto"/>
              <w:bottom w:val="single" w:sz="2" w:space="0" w:color="auto"/>
            </w:tcBorders>
            <w:vAlign w:val="center"/>
          </w:tcPr>
          <w:p w:rsidR="004A7042" w:rsidRPr="004E2FAA" w:rsidRDefault="007C48FA" w:rsidP="00B81482">
            <w:pPr>
              <w:pStyle w:val="cuatexto"/>
              <w:jc w:val="right"/>
            </w:pPr>
            <w:r w:rsidRPr="004E2FAA">
              <w:t>515.679</w:t>
            </w:r>
          </w:p>
        </w:tc>
      </w:tr>
      <w:tr w:rsidR="007C48FA" w:rsidRPr="007C48FA" w:rsidTr="00FF2612">
        <w:trPr>
          <w:trHeight w:val="255"/>
          <w:jc w:val="center"/>
        </w:trPr>
        <w:tc>
          <w:tcPr>
            <w:tcW w:w="2216" w:type="dxa"/>
            <w:tcBorders>
              <w:top w:val="single" w:sz="2" w:space="0" w:color="auto"/>
              <w:bottom w:val="single" w:sz="4" w:space="0" w:color="auto"/>
            </w:tcBorders>
            <w:noWrap/>
            <w:tcMar>
              <w:top w:w="0" w:type="dxa"/>
              <w:left w:w="70" w:type="dxa"/>
              <w:bottom w:w="0" w:type="dxa"/>
              <w:right w:w="70" w:type="dxa"/>
            </w:tcMar>
            <w:vAlign w:val="center"/>
            <w:hideMark/>
          </w:tcPr>
          <w:p w:rsidR="004A7042" w:rsidRPr="004E2FAA" w:rsidRDefault="004A7042" w:rsidP="004E2FAA">
            <w:pPr>
              <w:pStyle w:val="cuatexto"/>
              <w:jc w:val="left"/>
            </w:pPr>
            <w:r w:rsidRPr="004E2FAA">
              <w:t>2015</w:t>
            </w:r>
          </w:p>
        </w:tc>
        <w:tc>
          <w:tcPr>
            <w:tcW w:w="1700" w:type="dxa"/>
            <w:tcBorders>
              <w:top w:val="single" w:sz="2" w:space="0" w:color="auto"/>
              <w:bottom w:val="single" w:sz="4" w:space="0" w:color="auto"/>
            </w:tcBorders>
            <w:vAlign w:val="center"/>
          </w:tcPr>
          <w:p w:rsidR="004A7042" w:rsidRPr="004E2FAA" w:rsidRDefault="007C48FA" w:rsidP="00B81482">
            <w:pPr>
              <w:pStyle w:val="cuatexto"/>
              <w:jc w:val="right"/>
            </w:pPr>
            <w:r w:rsidRPr="004E2FAA">
              <w:t>97</w:t>
            </w:r>
          </w:p>
        </w:tc>
        <w:tc>
          <w:tcPr>
            <w:tcW w:w="1543" w:type="dxa"/>
            <w:tcBorders>
              <w:top w:val="single" w:sz="2" w:space="0" w:color="auto"/>
              <w:bottom w:val="single" w:sz="4" w:space="0" w:color="auto"/>
            </w:tcBorders>
            <w:vAlign w:val="center"/>
          </w:tcPr>
          <w:p w:rsidR="004A7042" w:rsidRPr="004E2FAA" w:rsidRDefault="007C48FA" w:rsidP="00B81482">
            <w:pPr>
              <w:pStyle w:val="cuatexto"/>
              <w:jc w:val="right"/>
            </w:pPr>
            <w:r w:rsidRPr="004E2FAA">
              <w:t>2.112.683</w:t>
            </w:r>
          </w:p>
        </w:tc>
        <w:tc>
          <w:tcPr>
            <w:tcW w:w="1710" w:type="dxa"/>
            <w:tcBorders>
              <w:top w:val="single" w:sz="2" w:space="0" w:color="auto"/>
              <w:bottom w:val="single" w:sz="4" w:space="0" w:color="auto"/>
            </w:tcBorders>
            <w:noWrap/>
            <w:tcMar>
              <w:top w:w="0" w:type="dxa"/>
              <w:left w:w="70" w:type="dxa"/>
              <w:bottom w:w="0" w:type="dxa"/>
              <w:right w:w="70" w:type="dxa"/>
            </w:tcMar>
            <w:vAlign w:val="center"/>
          </w:tcPr>
          <w:p w:rsidR="004A7042" w:rsidRPr="004E2FAA" w:rsidRDefault="007C48FA" w:rsidP="00B81482">
            <w:pPr>
              <w:pStyle w:val="cuatexto"/>
              <w:jc w:val="right"/>
            </w:pPr>
            <w:r w:rsidRPr="004E2FAA">
              <w:t>694.050</w:t>
            </w:r>
          </w:p>
        </w:tc>
        <w:tc>
          <w:tcPr>
            <w:tcW w:w="1534" w:type="dxa"/>
            <w:tcBorders>
              <w:top w:val="single" w:sz="2" w:space="0" w:color="auto"/>
              <w:bottom w:val="single" w:sz="4" w:space="0" w:color="auto"/>
            </w:tcBorders>
            <w:vAlign w:val="center"/>
          </w:tcPr>
          <w:p w:rsidR="004A7042" w:rsidRPr="004E2FAA" w:rsidRDefault="007C48FA" w:rsidP="00B81482">
            <w:pPr>
              <w:pStyle w:val="cuatexto"/>
              <w:jc w:val="right"/>
            </w:pPr>
            <w:r w:rsidRPr="004E2FAA">
              <w:t>162.987</w:t>
            </w:r>
          </w:p>
        </w:tc>
      </w:tr>
      <w:tr w:rsidR="007C48FA" w:rsidRPr="00B81482" w:rsidTr="00FF2612">
        <w:trPr>
          <w:trHeight w:val="255"/>
          <w:jc w:val="center"/>
        </w:trPr>
        <w:tc>
          <w:tcPr>
            <w:tcW w:w="2216" w:type="dxa"/>
            <w:tcBorders>
              <w:top w:val="single" w:sz="4" w:space="0" w:color="auto"/>
              <w:bottom w:val="single" w:sz="4" w:space="0" w:color="auto"/>
            </w:tcBorders>
            <w:shd w:val="clear" w:color="auto" w:fill="A8CBEE" w:themeFill="accent2" w:themeFillTint="66"/>
            <w:noWrap/>
            <w:tcMar>
              <w:top w:w="0" w:type="dxa"/>
              <w:left w:w="70" w:type="dxa"/>
              <w:bottom w:w="0" w:type="dxa"/>
              <w:right w:w="70" w:type="dxa"/>
            </w:tcMar>
            <w:vAlign w:val="center"/>
          </w:tcPr>
          <w:p w:rsidR="004A7042" w:rsidRPr="00B81482" w:rsidRDefault="004A7042" w:rsidP="00305A86">
            <w:pPr>
              <w:spacing w:after="0"/>
              <w:ind w:firstLine="0"/>
              <w:jc w:val="left"/>
              <w:rPr>
                <w:rFonts w:ascii="Arial" w:hAnsi="Arial" w:cs="Arial"/>
                <w:bCs/>
                <w:sz w:val="18"/>
                <w:szCs w:val="18"/>
                <w:lang w:val="es-ES" w:eastAsia="es-ES"/>
              </w:rPr>
            </w:pPr>
            <w:r w:rsidRPr="00B81482">
              <w:rPr>
                <w:rFonts w:ascii="Arial" w:hAnsi="Arial" w:cs="Arial"/>
                <w:bCs/>
                <w:sz w:val="18"/>
                <w:szCs w:val="18"/>
                <w:lang w:val="es-ES" w:eastAsia="es-ES"/>
              </w:rPr>
              <w:t xml:space="preserve">Total </w:t>
            </w:r>
          </w:p>
        </w:tc>
        <w:tc>
          <w:tcPr>
            <w:tcW w:w="1700" w:type="dxa"/>
            <w:tcBorders>
              <w:top w:val="single" w:sz="4" w:space="0" w:color="auto"/>
              <w:bottom w:val="single" w:sz="4" w:space="0" w:color="auto"/>
            </w:tcBorders>
            <w:shd w:val="clear" w:color="auto" w:fill="A8CBEE" w:themeFill="accent2" w:themeFillTint="66"/>
            <w:vAlign w:val="center"/>
          </w:tcPr>
          <w:p w:rsidR="004A7042" w:rsidRPr="00B81482" w:rsidRDefault="007C48FA" w:rsidP="00B81482">
            <w:pPr>
              <w:spacing w:after="0"/>
              <w:ind w:firstLine="0"/>
              <w:jc w:val="right"/>
              <w:rPr>
                <w:rFonts w:ascii="Arial" w:hAnsi="Arial" w:cs="Arial"/>
                <w:bCs/>
                <w:sz w:val="18"/>
                <w:szCs w:val="18"/>
                <w:lang w:val="es-ES" w:eastAsia="es-ES"/>
              </w:rPr>
            </w:pPr>
            <w:r w:rsidRPr="00B81482">
              <w:rPr>
                <w:rFonts w:ascii="Arial" w:hAnsi="Arial" w:cs="Arial"/>
                <w:bCs/>
                <w:sz w:val="18"/>
                <w:szCs w:val="18"/>
                <w:lang w:val="es-ES" w:eastAsia="es-ES"/>
              </w:rPr>
              <w:t>353</w:t>
            </w:r>
          </w:p>
        </w:tc>
        <w:tc>
          <w:tcPr>
            <w:tcW w:w="1543" w:type="dxa"/>
            <w:tcBorders>
              <w:top w:val="single" w:sz="4" w:space="0" w:color="auto"/>
              <w:bottom w:val="single" w:sz="4" w:space="0" w:color="auto"/>
            </w:tcBorders>
            <w:shd w:val="clear" w:color="auto" w:fill="A8CBEE" w:themeFill="accent2" w:themeFillTint="66"/>
            <w:vAlign w:val="center"/>
          </w:tcPr>
          <w:p w:rsidR="004A7042" w:rsidRPr="00B81482" w:rsidRDefault="007C48FA" w:rsidP="00B81482">
            <w:pPr>
              <w:spacing w:after="0"/>
              <w:ind w:firstLine="0"/>
              <w:jc w:val="right"/>
              <w:rPr>
                <w:rFonts w:ascii="Arial" w:hAnsi="Arial" w:cs="Arial"/>
                <w:bCs/>
                <w:sz w:val="18"/>
                <w:szCs w:val="18"/>
                <w:lang w:val="es-ES" w:eastAsia="es-ES"/>
              </w:rPr>
            </w:pPr>
            <w:r w:rsidRPr="00B81482">
              <w:rPr>
                <w:rFonts w:ascii="Arial" w:hAnsi="Arial" w:cs="Arial"/>
                <w:bCs/>
                <w:sz w:val="18"/>
                <w:szCs w:val="18"/>
                <w:lang w:val="es-ES" w:eastAsia="es-ES"/>
              </w:rPr>
              <w:t>16.810.946</w:t>
            </w:r>
          </w:p>
        </w:tc>
        <w:tc>
          <w:tcPr>
            <w:tcW w:w="1710" w:type="dxa"/>
            <w:tcBorders>
              <w:top w:val="single" w:sz="4" w:space="0" w:color="auto"/>
              <w:bottom w:val="single" w:sz="4" w:space="0" w:color="auto"/>
            </w:tcBorders>
            <w:shd w:val="clear" w:color="auto" w:fill="A8CBEE" w:themeFill="accent2" w:themeFillTint="66"/>
            <w:noWrap/>
            <w:tcMar>
              <w:top w:w="0" w:type="dxa"/>
              <w:left w:w="70" w:type="dxa"/>
              <w:bottom w:w="0" w:type="dxa"/>
              <w:right w:w="70" w:type="dxa"/>
            </w:tcMar>
            <w:vAlign w:val="center"/>
          </w:tcPr>
          <w:p w:rsidR="004A7042" w:rsidRPr="00B81482" w:rsidRDefault="007C48FA" w:rsidP="00B81482">
            <w:pPr>
              <w:spacing w:after="0"/>
              <w:ind w:firstLine="0"/>
              <w:jc w:val="right"/>
              <w:rPr>
                <w:rFonts w:ascii="Arial" w:hAnsi="Arial" w:cs="Arial"/>
                <w:bCs/>
                <w:sz w:val="18"/>
                <w:szCs w:val="18"/>
                <w:lang w:val="es-ES" w:eastAsia="es-ES"/>
              </w:rPr>
            </w:pPr>
            <w:r w:rsidRPr="00B81482">
              <w:rPr>
                <w:rFonts w:ascii="Arial" w:hAnsi="Arial" w:cs="Arial"/>
                <w:bCs/>
                <w:sz w:val="18"/>
                <w:szCs w:val="18"/>
                <w:lang w:val="es-ES" w:eastAsia="es-ES"/>
              </w:rPr>
              <w:t>4.647.281</w:t>
            </w:r>
          </w:p>
        </w:tc>
        <w:tc>
          <w:tcPr>
            <w:tcW w:w="1534" w:type="dxa"/>
            <w:tcBorders>
              <w:top w:val="single" w:sz="4" w:space="0" w:color="auto"/>
              <w:bottom w:val="single" w:sz="4" w:space="0" w:color="auto"/>
            </w:tcBorders>
            <w:shd w:val="clear" w:color="auto" w:fill="A8CBEE" w:themeFill="accent2" w:themeFillTint="66"/>
            <w:vAlign w:val="center"/>
          </w:tcPr>
          <w:p w:rsidR="004A7042" w:rsidRPr="00B81482" w:rsidRDefault="007C48FA" w:rsidP="00B81482">
            <w:pPr>
              <w:spacing w:after="0"/>
              <w:ind w:firstLine="0"/>
              <w:jc w:val="right"/>
              <w:rPr>
                <w:rFonts w:ascii="Arial" w:hAnsi="Arial" w:cs="Arial"/>
                <w:bCs/>
                <w:sz w:val="18"/>
                <w:szCs w:val="18"/>
                <w:lang w:val="es-ES" w:eastAsia="es-ES"/>
              </w:rPr>
            </w:pPr>
            <w:r w:rsidRPr="00B81482">
              <w:rPr>
                <w:rFonts w:ascii="Arial" w:hAnsi="Arial" w:cs="Arial"/>
                <w:bCs/>
                <w:sz w:val="18"/>
                <w:szCs w:val="18"/>
                <w:lang w:val="es-ES" w:eastAsia="es-ES"/>
              </w:rPr>
              <w:t>1.887.508</w:t>
            </w:r>
          </w:p>
        </w:tc>
      </w:tr>
    </w:tbl>
    <w:p w:rsidR="005E5C29" w:rsidRDefault="005E5C29" w:rsidP="002803B0">
      <w:pPr>
        <w:pStyle w:val="texto"/>
        <w:tabs>
          <w:tab w:val="clear" w:pos="2835"/>
          <w:tab w:val="clear" w:pos="3969"/>
          <w:tab w:val="clear" w:pos="5103"/>
          <w:tab w:val="clear" w:pos="6237"/>
          <w:tab w:val="clear" w:pos="7371"/>
        </w:tabs>
        <w:spacing w:after="0"/>
        <w:rPr>
          <w:szCs w:val="26"/>
        </w:rPr>
      </w:pPr>
    </w:p>
    <w:p w:rsidR="00C04A6A" w:rsidRDefault="00BF5588" w:rsidP="005E5C29">
      <w:pPr>
        <w:pStyle w:val="texto"/>
        <w:tabs>
          <w:tab w:val="clear" w:pos="2835"/>
          <w:tab w:val="clear" w:pos="3969"/>
          <w:tab w:val="clear" w:pos="5103"/>
          <w:tab w:val="clear" w:pos="6237"/>
          <w:tab w:val="clear" w:pos="7371"/>
        </w:tabs>
        <w:rPr>
          <w:szCs w:val="26"/>
        </w:rPr>
      </w:pPr>
      <w:r w:rsidRPr="00A63248">
        <w:rPr>
          <w:szCs w:val="26"/>
        </w:rPr>
        <w:t xml:space="preserve">El seguimiento y control </w:t>
      </w:r>
      <w:r w:rsidR="00AF25EC" w:rsidRPr="00A63248">
        <w:rPr>
          <w:szCs w:val="26"/>
        </w:rPr>
        <w:t xml:space="preserve">automatizado </w:t>
      </w:r>
      <w:r w:rsidRPr="00A63248">
        <w:rPr>
          <w:szCs w:val="26"/>
        </w:rPr>
        <w:t>de estas derivaciones no se ha inco</w:t>
      </w:r>
      <w:r w:rsidRPr="00A63248">
        <w:rPr>
          <w:szCs w:val="26"/>
        </w:rPr>
        <w:t>r</w:t>
      </w:r>
      <w:r w:rsidRPr="00A63248">
        <w:rPr>
          <w:szCs w:val="26"/>
        </w:rPr>
        <w:t xml:space="preserve">porado todavía al </w:t>
      </w:r>
      <w:r w:rsidR="00AF25EC" w:rsidRPr="00A63248">
        <w:rPr>
          <w:szCs w:val="26"/>
        </w:rPr>
        <w:t>CAT</w:t>
      </w:r>
      <w:r w:rsidRPr="00A63248">
        <w:rPr>
          <w:szCs w:val="26"/>
        </w:rPr>
        <w:t>, básicamente por la dificultad técnica derivada de as</w:t>
      </w:r>
      <w:r w:rsidRPr="00A63248">
        <w:rPr>
          <w:szCs w:val="26"/>
        </w:rPr>
        <w:t>o</w:t>
      </w:r>
      <w:r w:rsidRPr="00A63248">
        <w:rPr>
          <w:szCs w:val="26"/>
        </w:rPr>
        <w:t>ciar más de un DNI</w:t>
      </w:r>
      <w:r w:rsidR="00AF25EC" w:rsidRPr="00A63248">
        <w:rPr>
          <w:szCs w:val="26"/>
        </w:rPr>
        <w:t>/NIF</w:t>
      </w:r>
      <w:r w:rsidRPr="00A63248">
        <w:rPr>
          <w:szCs w:val="26"/>
        </w:rPr>
        <w:t xml:space="preserve"> a la misma deuda. Además, al pasar al deudor subs</w:t>
      </w:r>
      <w:r w:rsidRPr="00A63248">
        <w:rPr>
          <w:szCs w:val="26"/>
        </w:rPr>
        <w:t>i</w:t>
      </w:r>
      <w:r w:rsidRPr="00A63248">
        <w:rPr>
          <w:szCs w:val="26"/>
        </w:rPr>
        <w:t xml:space="preserve">diario se anulan todos los recargos e intereses devengados hasta ese momento, los cuales </w:t>
      </w:r>
      <w:r w:rsidR="00C04A6A">
        <w:rPr>
          <w:szCs w:val="26"/>
        </w:rPr>
        <w:t>están abocados a la prescripción.</w:t>
      </w:r>
    </w:p>
    <w:p w:rsidR="00C04A6A" w:rsidRPr="00A63248" w:rsidRDefault="00C04A6A" w:rsidP="005E5C29">
      <w:pPr>
        <w:pStyle w:val="texto"/>
        <w:tabs>
          <w:tab w:val="clear" w:pos="2835"/>
          <w:tab w:val="clear" w:pos="3969"/>
          <w:tab w:val="clear" w:pos="5103"/>
          <w:tab w:val="clear" w:pos="6237"/>
          <w:tab w:val="clear" w:pos="7371"/>
        </w:tabs>
        <w:rPr>
          <w:szCs w:val="26"/>
        </w:rPr>
      </w:pPr>
      <w:r>
        <w:rPr>
          <w:szCs w:val="26"/>
        </w:rPr>
        <w:t>Desde el Servicio de Recaudación se está analizando la forma en la que ha de reflejarse el expediente de derivación en el CAT, como trámite necesario p</w:t>
      </w:r>
      <w:r>
        <w:rPr>
          <w:szCs w:val="26"/>
        </w:rPr>
        <w:t>a</w:t>
      </w:r>
      <w:r>
        <w:rPr>
          <w:szCs w:val="26"/>
        </w:rPr>
        <w:t>ra incrementar de forma sustancial est</w:t>
      </w:r>
      <w:r w:rsidR="00A92AE0">
        <w:rPr>
          <w:szCs w:val="26"/>
        </w:rPr>
        <w:t>e tipo de actuaciones</w:t>
      </w:r>
      <w:r>
        <w:rPr>
          <w:szCs w:val="26"/>
        </w:rPr>
        <w:t>.</w:t>
      </w:r>
    </w:p>
    <w:p w:rsidR="00A31857" w:rsidRPr="00A63248" w:rsidRDefault="006A2986" w:rsidP="00D14EA4">
      <w:pPr>
        <w:pStyle w:val="texto"/>
        <w:tabs>
          <w:tab w:val="clear" w:pos="2835"/>
          <w:tab w:val="clear" w:pos="3969"/>
          <w:tab w:val="clear" w:pos="5103"/>
          <w:tab w:val="clear" w:pos="6237"/>
          <w:tab w:val="clear" w:pos="7371"/>
        </w:tabs>
        <w:rPr>
          <w:szCs w:val="26"/>
        </w:rPr>
      </w:pPr>
      <w:r w:rsidRPr="00A63248">
        <w:rPr>
          <w:szCs w:val="26"/>
        </w:rPr>
        <w:t>e)</w:t>
      </w:r>
      <w:r w:rsidR="00333F72" w:rsidRPr="00A63248">
        <w:rPr>
          <w:szCs w:val="26"/>
        </w:rPr>
        <w:t xml:space="preserve"> </w:t>
      </w:r>
      <w:r w:rsidR="00333F72" w:rsidRPr="00705B89">
        <w:rPr>
          <w:b/>
          <w:spacing w:val="-2"/>
          <w:szCs w:val="26"/>
        </w:rPr>
        <w:t>Concurso de acreedores y quitas</w:t>
      </w:r>
      <w:r w:rsidR="00D14EA4" w:rsidRPr="00705B89">
        <w:rPr>
          <w:spacing w:val="-2"/>
          <w:szCs w:val="26"/>
        </w:rPr>
        <w:t xml:space="preserve">. </w:t>
      </w:r>
      <w:r w:rsidR="00A31857" w:rsidRPr="00705B89">
        <w:rPr>
          <w:spacing w:val="-2"/>
          <w:szCs w:val="26"/>
        </w:rPr>
        <w:t>El efecto de la crisis</w:t>
      </w:r>
      <w:r w:rsidR="00D14EA4" w:rsidRPr="00705B89">
        <w:rPr>
          <w:spacing w:val="-2"/>
          <w:szCs w:val="26"/>
        </w:rPr>
        <w:t xml:space="preserve"> económica de estos</w:t>
      </w:r>
      <w:r w:rsidR="00A31857" w:rsidRPr="00705B89">
        <w:rPr>
          <w:spacing w:val="-2"/>
          <w:szCs w:val="26"/>
        </w:rPr>
        <w:t xml:space="preserve"> años ha multiplicado por </w:t>
      </w:r>
      <w:r w:rsidR="005C37EB" w:rsidRPr="00705B89">
        <w:rPr>
          <w:spacing w:val="-2"/>
          <w:szCs w:val="26"/>
        </w:rPr>
        <w:t>diez</w:t>
      </w:r>
      <w:r w:rsidR="00A31857" w:rsidRPr="00705B89">
        <w:rPr>
          <w:spacing w:val="-2"/>
          <w:szCs w:val="26"/>
        </w:rPr>
        <w:t xml:space="preserve"> los concursos de acreedores. En los concursos la práct</w:t>
      </w:r>
      <w:r w:rsidR="00A31857" w:rsidRPr="00705B89">
        <w:rPr>
          <w:spacing w:val="-2"/>
          <w:szCs w:val="26"/>
        </w:rPr>
        <w:t>i</w:t>
      </w:r>
      <w:r w:rsidR="00A31857" w:rsidRPr="00705B89">
        <w:rPr>
          <w:spacing w:val="-2"/>
          <w:szCs w:val="26"/>
        </w:rPr>
        <w:t>ca habitual es que el 90</w:t>
      </w:r>
      <w:r w:rsidR="00FA090A" w:rsidRPr="00705B89">
        <w:rPr>
          <w:spacing w:val="-2"/>
          <w:szCs w:val="26"/>
        </w:rPr>
        <w:t xml:space="preserve"> por ciento </w:t>
      </w:r>
      <w:r w:rsidR="00A31857" w:rsidRPr="00705B89">
        <w:rPr>
          <w:spacing w:val="-2"/>
          <w:szCs w:val="26"/>
        </w:rPr>
        <w:t>de los casos acabe en</w:t>
      </w:r>
      <w:r w:rsidR="00FA090A" w:rsidRPr="00705B89">
        <w:rPr>
          <w:spacing w:val="-2"/>
          <w:szCs w:val="26"/>
        </w:rPr>
        <w:t xml:space="preserve"> la liquidación de la empresa</w:t>
      </w:r>
      <w:r w:rsidR="00D14EA4" w:rsidRPr="00705B89">
        <w:rPr>
          <w:spacing w:val="-2"/>
          <w:szCs w:val="26"/>
        </w:rPr>
        <w:t xml:space="preserve"> o entidad</w:t>
      </w:r>
      <w:r w:rsidR="00FA090A" w:rsidRPr="00705B89">
        <w:rPr>
          <w:spacing w:val="-2"/>
          <w:szCs w:val="26"/>
        </w:rPr>
        <w:t xml:space="preserve"> y</w:t>
      </w:r>
      <w:r w:rsidR="00A31857" w:rsidRPr="00705B89">
        <w:rPr>
          <w:spacing w:val="-2"/>
          <w:szCs w:val="26"/>
        </w:rPr>
        <w:t xml:space="preserve"> sólo en el 10</w:t>
      </w:r>
      <w:r w:rsidR="00FA090A" w:rsidRPr="00705B89">
        <w:rPr>
          <w:spacing w:val="-2"/>
          <w:szCs w:val="26"/>
        </w:rPr>
        <w:t xml:space="preserve"> por ciento de los casos</w:t>
      </w:r>
      <w:r w:rsidR="00A31857" w:rsidRPr="00705B89">
        <w:rPr>
          <w:spacing w:val="-2"/>
          <w:szCs w:val="26"/>
        </w:rPr>
        <w:t xml:space="preserve"> se firma un convenio de acreedores. Desde el </w:t>
      </w:r>
      <w:r w:rsidR="005E5C29">
        <w:rPr>
          <w:spacing w:val="-2"/>
          <w:szCs w:val="26"/>
        </w:rPr>
        <w:t>S</w:t>
      </w:r>
      <w:r w:rsidR="00A31857" w:rsidRPr="00705B89">
        <w:rPr>
          <w:spacing w:val="-2"/>
          <w:szCs w:val="26"/>
        </w:rPr>
        <w:t xml:space="preserve">ervicio nos </w:t>
      </w:r>
      <w:r w:rsidR="0061344D" w:rsidRPr="00705B89">
        <w:rPr>
          <w:spacing w:val="-2"/>
          <w:szCs w:val="26"/>
        </w:rPr>
        <w:t>informan</w:t>
      </w:r>
      <w:r w:rsidR="00A92AE0">
        <w:rPr>
          <w:spacing w:val="-2"/>
          <w:szCs w:val="26"/>
        </w:rPr>
        <w:t xml:space="preserve"> </w:t>
      </w:r>
      <w:r w:rsidR="00A31857" w:rsidRPr="00705B89">
        <w:rPr>
          <w:spacing w:val="-2"/>
          <w:szCs w:val="26"/>
        </w:rPr>
        <w:t>que</w:t>
      </w:r>
      <w:r w:rsidR="00A92AE0">
        <w:rPr>
          <w:spacing w:val="-2"/>
          <w:szCs w:val="26"/>
        </w:rPr>
        <w:t>,</w:t>
      </w:r>
      <w:r w:rsidR="005E5C29">
        <w:rPr>
          <w:spacing w:val="-2"/>
          <w:szCs w:val="26"/>
        </w:rPr>
        <w:t xml:space="preserve"> de</w:t>
      </w:r>
      <w:r w:rsidR="00A31857" w:rsidRPr="00705B89">
        <w:rPr>
          <w:spacing w:val="-2"/>
          <w:szCs w:val="26"/>
        </w:rPr>
        <w:t xml:space="preserve"> ese 10</w:t>
      </w:r>
      <w:r w:rsidR="00FA090A" w:rsidRPr="00705B89">
        <w:rPr>
          <w:spacing w:val="-2"/>
          <w:szCs w:val="26"/>
        </w:rPr>
        <w:t xml:space="preserve"> por ciento</w:t>
      </w:r>
      <w:r w:rsidR="005E5C29">
        <w:rPr>
          <w:spacing w:val="-2"/>
          <w:szCs w:val="26"/>
        </w:rPr>
        <w:t xml:space="preserve"> de sociedades, un alto n</w:t>
      </w:r>
      <w:r w:rsidR="005E5C29">
        <w:rPr>
          <w:spacing w:val="-2"/>
          <w:szCs w:val="26"/>
        </w:rPr>
        <w:t>ú</w:t>
      </w:r>
      <w:r w:rsidR="005E5C29">
        <w:rPr>
          <w:spacing w:val="-2"/>
          <w:szCs w:val="26"/>
        </w:rPr>
        <w:t>me</w:t>
      </w:r>
      <w:r w:rsidR="00A92AE0">
        <w:rPr>
          <w:spacing w:val="-2"/>
          <w:szCs w:val="26"/>
        </w:rPr>
        <w:t>ro</w:t>
      </w:r>
      <w:r w:rsidR="00A31857" w:rsidRPr="00705B89">
        <w:rPr>
          <w:spacing w:val="-2"/>
          <w:szCs w:val="26"/>
        </w:rPr>
        <w:t xml:space="preserve"> acaba en liquidación cuando</w:t>
      </w:r>
      <w:r w:rsidR="00FB4AFC">
        <w:rPr>
          <w:spacing w:val="-2"/>
          <w:szCs w:val="26"/>
        </w:rPr>
        <w:t>,</w:t>
      </w:r>
      <w:r w:rsidR="00A31857" w:rsidRPr="00705B89">
        <w:rPr>
          <w:spacing w:val="-2"/>
          <w:szCs w:val="26"/>
        </w:rPr>
        <w:t xml:space="preserve"> transcurrido el periodo de carencia acordado, llega el primer pago. </w:t>
      </w:r>
    </w:p>
    <w:p w:rsidR="00FA090A" w:rsidRPr="00A63248" w:rsidRDefault="00FA090A" w:rsidP="00D14EA4">
      <w:pPr>
        <w:pStyle w:val="texto"/>
        <w:tabs>
          <w:tab w:val="clear" w:pos="2835"/>
          <w:tab w:val="clear" w:pos="3969"/>
          <w:tab w:val="clear" w:pos="5103"/>
          <w:tab w:val="clear" w:pos="6237"/>
          <w:tab w:val="clear" w:pos="7371"/>
        </w:tabs>
        <w:rPr>
          <w:szCs w:val="26"/>
        </w:rPr>
      </w:pPr>
      <w:r w:rsidRPr="00A63248">
        <w:rPr>
          <w:szCs w:val="26"/>
        </w:rPr>
        <w:t>Los créditos tributarios que tengan la consideración de créditos ordinarios y subordinados en un procedimiento concursal, quedan afectados, por imperativo legal, por las quitas y esperas previstas</w:t>
      </w:r>
      <w:r w:rsidR="005C37EB" w:rsidRPr="00A63248">
        <w:rPr>
          <w:szCs w:val="26"/>
        </w:rPr>
        <w:t>,</w:t>
      </w:r>
      <w:r w:rsidRPr="00A63248">
        <w:rPr>
          <w:szCs w:val="26"/>
        </w:rPr>
        <w:t xml:space="preserve"> en su caso</w:t>
      </w:r>
      <w:r w:rsidR="00D14EA4" w:rsidRPr="00A63248">
        <w:rPr>
          <w:szCs w:val="26"/>
        </w:rPr>
        <w:t>,</w:t>
      </w:r>
      <w:r w:rsidRPr="00A63248">
        <w:rPr>
          <w:szCs w:val="26"/>
        </w:rPr>
        <w:t xml:space="preserve"> en el convenio concursal aprobado judicialmente.</w:t>
      </w:r>
      <w:r w:rsidR="00D14EA4" w:rsidRPr="00A63248">
        <w:rPr>
          <w:szCs w:val="26"/>
        </w:rPr>
        <w:t xml:space="preserve"> Así, en los convenios concursales se aprueba una quita de la deuda y para el resto se aprueba una espera o fraccionamiento de la mi</w:t>
      </w:r>
      <w:r w:rsidR="00D14EA4" w:rsidRPr="00A63248">
        <w:rPr>
          <w:szCs w:val="26"/>
        </w:rPr>
        <w:t>s</w:t>
      </w:r>
      <w:r w:rsidR="00D14EA4" w:rsidRPr="00A63248">
        <w:rPr>
          <w:szCs w:val="26"/>
        </w:rPr>
        <w:t>ma; estos fraccionamientos se contabilizan en cuentas tipo aplazamientos en periodo voluntario. Para el cálculo de la provisión de insolvencias contable, se conside</w:t>
      </w:r>
      <w:r w:rsidR="00AF25EC" w:rsidRPr="00A63248">
        <w:rPr>
          <w:szCs w:val="26"/>
        </w:rPr>
        <w:t xml:space="preserve">ra únicamente </w:t>
      </w:r>
      <w:r w:rsidR="00D14EA4" w:rsidRPr="00A63248">
        <w:rPr>
          <w:szCs w:val="26"/>
        </w:rPr>
        <w:t xml:space="preserve">un 25 por ciento sobre los plazos vencidos. </w:t>
      </w:r>
    </w:p>
    <w:p w:rsidR="00BC1B66" w:rsidRPr="00A63248" w:rsidRDefault="00BC1B66" w:rsidP="00BC1B66">
      <w:pPr>
        <w:pStyle w:val="texto"/>
        <w:tabs>
          <w:tab w:val="clear" w:pos="2835"/>
          <w:tab w:val="clear" w:pos="3969"/>
          <w:tab w:val="clear" w:pos="5103"/>
          <w:tab w:val="clear" w:pos="6237"/>
          <w:tab w:val="clear" w:pos="7371"/>
        </w:tabs>
        <w:rPr>
          <w:szCs w:val="26"/>
        </w:rPr>
      </w:pPr>
      <w:r w:rsidRPr="00A63248">
        <w:rPr>
          <w:szCs w:val="26"/>
        </w:rPr>
        <w:t xml:space="preserve">Mientras está vivo el concurso </w:t>
      </w:r>
      <w:r w:rsidR="005E5C29">
        <w:rPr>
          <w:szCs w:val="26"/>
        </w:rPr>
        <w:t>se interrumpe el cómputo del plazo de</w:t>
      </w:r>
      <w:r w:rsidRPr="00A63248">
        <w:rPr>
          <w:szCs w:val="26"/>
        </w:rPr>
        <w:t xml:space="preserve"> pre</w:t>
      </w:r>
      <w:r w:rsidRPr="00A63248">
        <w:rPr>
          <w:szCs w:val="26"/>
        </w:rPr>
        <w:t>s</w:t>
      </w:r>
      <w:r w:rsidRPr="00A63248">
        <w:rPr>
          <w:szCs w:val="26"/>
        </w:rPr>
        <w:t xml:space="preserve">cripción. Una vez  finalizado el concurso, se </w:t>
      </w:r>
      <w:r w:rsidR="002A3BF0">
        <w:rPr>
          <w:szCs w:val="26"/>
        </w:rPr>
        <w:t>reinicia tal cómputo.</w:t>
      </w:r>
    </w:p>
    <w:p w:rsidR="00BC1B66" w:rsidRPr="00A63248" w:rsidRDefault="00BC1B66" w:rsidP="00BC1B66">
      <w:pPr>
        <w:pStyle w:val="texto"/>
        <w:tabs>
          <w:tab w:val="clear" w:pos="2835"/>
          <w:tab w:val="clear" w:pos="3969"/>
          <w:tab w:val="clear" w:pos="5103"/>
          <w:tab w:val="clear" w:pos="6237"/>
          <w:tab w:val="clear" w:pos="7371"/>
        </w:tabs>
        <w:rPr>
          <w:szCs w:val="26"/>
        </w:rPr>
      </w:pPr>
      <w:r w:rsidRPr="00FF2612">
        <w:rPr>
          <w:spacing w:val="4"/>
          <w:szCs w:val="26"/>
        </w:rPr>
        <w:t xml:space="preserve">La </w:t>
      </w:r>
      <w:r w:rsidR="002A3BF0">
        <w:rPr>
          <w:spacing w:val="4"/>
          <w:szCs w:val="26"/>
        </w:rPr>
        <w:t xml:space="preserve">mayor parte de la </w:t>
      </w:r>
      <w:r w:rsidRPr="00FF2612">
        <w:rPr>
          <w:spacing w:val="4"/>
          <w:szCs w:val="26"/>
        </w:rPr>
        <w:t xml:space="preserve">deuda en ejecutiva de los deudores en concurso en fase de liquidación </w:t>
      </w:r>
      <w:r w:rsidR="002A3BF0">
        <w:rPr>
          <w:spacing w:val="4"/>
          <w:szCs w:val="26"/>
        </w:rPr>
        <w:t xml:space="preserve">está abocada a la </w:t>
      </w:r>
      <w:r w:rsidRPr="00FF2612">
        <w:rPr>
          <w:spacing w:val="4"/>
          <w:szCs w:val="26"/>
        </w:rPr>
        <w:t xml:space="preserve">prescripción. </w:t>
      </w:r>
      <w:r w:rsidR="002A3BF0">
        <w:rPr>
          <w:spacing w:val="4"/>
          <w:szCs w:val="26"/>
        </w:rPr>
        <w:t>Durante la fase de liquidación, la deuda que se cobra es minoritaria, quedando la mayor parte sin cancelar una vez declarado el auto de conclusión del concurso. Es a partir de este momento, cua</w:t>
      </w:r>
      <w:r w:rsidR="002A3BF0">
        <w:rPr>
          <w:spacing w:val="4"/>
          <w:szCs w:val="26"/>
        </w:rPr>
        <w:t>n</w:t>
      </w:r>
      <w:r w:rsidR="002A3BF0">
        <w:rPr>
          <w:spacing w:val="4"/>
          <w:szCs w:val="26"/>
        </w:rPr>
        <w:t xml:space="preserve">do se abre de nuevo el cómputo de la prescripción, teniendo que </w:t>
      </w:r>
      <w:r w:rsidRPr="00FF2612">
        <w:rPr>
          <w:spacing w:val="4"/>
          <w:szCs w:val="26"/>
        </w:rPr>
        <w:t xml:space="preserve">transcurrir </w:t>
      </w:r>
      <w:r w:rsidR="00D14EA4" w:rsidRPr="00FF2612">
        <w:rPr>
          <w:spacing w:val="4"/>
          <w:szCs w:val="26"/>
        </w:rPr>
        <w:t>cu</w:t>
      </w:r>
      <w:r w:rsidR="00D14EA4" w:rsidRPr="00FF2612">
        <w:rPr>
          <w:spacing w:val="4"/>
          <w:szCs w:val="26"/>
        </w:rPr>
        <w:t>a</w:t>
      </w:r>
      <w:r w:rsidR="00D14EA4" w:rsidRPr="00FF2612">
        <w:rPr>
          <w:spacing w:val="4"/>
          <w:szCs w:val="26"/>
        </w:rPr>
        <w:t>tro</w:t>
      </w:r>
      <w:r w:rsidRPr="00FF2612">
        <w:rPr>
          <w:spacing w:val="4"/>
          <w:szCs w:val="26"/>
        </w:rPr>
        <w:t xml:space="preserve"> años para dar de baja en cuentas</w:t>
      </w:r>
      <w:r w:rsidRPr="00A63248">
        <w:rPr>
          <w:szCs w:val="26"/>
        </w:rPr>
        <w:t xml:space="preserve">. </w:t>
      </w:r>
    </w:p>
    <w:p w:rsidR="00D14EA4" w:rsidRPr="00A63248" w:rsidRDefault="00D14EA4" w:rsidP="00D14EA4">
      <w:pPr>
        <w:pStyle w:val="texto"/>
        <w:tabs>
          <w:tab w:val="clear" w:pos="2835"/>
          <w:tab w:val="clear" w:pos="3969"/>
          <w:tab w:val="clear" w:pos="5103"/>
          <w:tab w:val="clear" w:pos="6237"/>
          <w:tab w:val="clear" w:pos="7371"/>
        </w:tabs>
        <w:rPr>
          <w:szCs w:val="26"/>
        </w:rPr>
      </w:pPr>
      <w:r w:rsidRPr="00A63248">
        <w:rPr>
          <w:szCs w:val="26"/>
        </w:rPr>
        <w:lastRenderedPageBreak/>
        <w:t>En el CAT se reflejan la baja en cuentas de quitas aprobadas mediante se</w:t>
      </w:r>
      <w:r w:rsidRPr="00A63248">
        <w:rPr>
          <w:szCs w:val="26"/>
        </w:rPr>
        <w:t>n</w:t>
      </w:r>
      <w:r w:rsidRPr="00A63248">
        <w:rPr>
          <w:szCs w:val="26"/>
        </w:rPr>
        <w:t>tencia en procedimientos concursales. En el periodo analizado, el importe dado de baja en cuentas asciende a 2,4 millones de euros.</w:t>
      </w:r>
    </w:p>
    <w:p w:rsidR="00FA090A" w:rsidRPr="00A63248" w:rsidRDefault="00D14EA4" w:rsidP="00D14EA4">
      <w:pPr>
        <w:pStyle w:val="texto"/>
        <w:tabs>
          <w:tab w:val="clear" w:pos="2835"/>
          <w:tab w:val="clear" w:pos="3969"/>
          <w:tab w:val="clear" w:pos="5103"/>
          <w:tab w:val="clear" w:pos="6237"/>
          <w:tab w:val="clear" w:pos="7371"/>
        </w:tabs>
        <w:rPr>
          <w:szCs w:val="26"/>
        </w:rPr>
      </w:pPr>
      <w:r w:rsidRPr="00A63248">
        <w:rPr>
          <w:szCs w:val="26"/>
        </w:rPr>
        <w:t xml:space="preserve">Así mismo, en el CAT se registra </w:t>
      </w:r>
      <w:r w:rsidR="00AF25EC" w:rsidRPr="00A63248">
        <w:rPr>
          <w:szCs w:val="26"/>
        </w:rPr>
        <w:t xml:space="preserve">con la calificación de “deudores </w:t>
      </w:r>
      <w:r w:rsidRPr="00A63248">
        <w:rPr>
          <w:szCs w:val="26"/>
        </w:rPr>
        <w:t>concurso</w:t>
      </w:r>
      <w:r w:rsidR="00AF25EC" w:rsidRPr="00A63248">
        <w:rPr>
          <w:szCs w:val="26"/>
        </w:rPr>
        <w:t>” el saldo de esta</w:t>
      </w:r>
      <w:r w:rsidR="00534307" w:rsidRPr="00A63248">
        <w:rPr>
          <w:szCs w:val="26"/>
        </w:rPr>
        <w:t>s</w:t>
      </w:r>
      <w:r w:rsidR="00AF25EC" w:rsidRPr="00A63248">
        <w:rPr>
          <w:szCs w:val="26"/>
        </w:rPr>
        <w:t xml:space="preserve"> deuda</w:t>
      </w:r>
      <w:r w:rsidR="00534307" w:rsidRPr="00A63248">
        <w:rPr>
          <w:szCs w:val="26"/>
        </w:rPr>
        <w:t>s</w:t>
      </w:r>
      <w:r w:rsidR="00AF25EC" w:rsidRPr="00A63248">
        <w:rPr>
          <w:szCs w:val="26"/>
        </w:rPr>
        <w:t xml:space="preserve"> que, a</w:t>
      </w:r>
      <w:r w:rsidRPr="00A63248">
        <w:rPr>
          <w:szCs w:val="26"/>
        </w:rPr>
        <w:t xml:space="preserve"> 31 de diciem</w:t>
      </w:r>
      <w:r w:rsidR="005C37EB" w:rsidRPr="00A63248">
        <w:rPr>
          <w:szCs w:val="26"/>
        </w:rPr>
        <w:t>bre de 2</w:t>
      </w:r>
      <w:r w:rsidR="00AF25EC" w:rsidRPr="00A63248">
        <w:rPr>
          <w:szCs w:val="26"/>
        </w:rPr>
        <w:t xml:space="preserve">015, </w:t>
      </w:r>
      <w:r w:rsidRPr="00A63248">
        <w:rPr>
          <w:szCs w:val="26"/>
        </w:rPr>
        <w:t>asciende a 145,93 m</w:t>
      </w:r>
      <w:r w:rsidRPr="00A63248">
        <w:rPr>
          <w:szCs w:val="26"/>
        </w:rPr>
        <w:t>i</w:t>
      </w:r>
      <w:r w:rsidRPr="00A63248">
        <w:rPr>
          <w:szCs w:val="26"/>
        </w:rPr>
        <w:t>llones</w:t>
      </w:r>
      <w:r w:rsidR="002E0A46" w:rsidRPr="00A63248">
        <w:rPr>
          <w:szCs w:val="26"/>
        </w:rPr>
        <w:t>, de los que 87 millones estaban en ejecutiva</w:t>
      </w:r>
      <w:r w:rsidRPr="00A63248">
        <w:rPr>
          <w:szCs w:val="26"/>
        </w:rPr>
        <w:t>.</w:t>
      </w:r>
    </w:p>
    <w:p w:rsidR="00D14EA4" w:rsidRPr="00FB4AFC" w:rsidRDefault="00FA090A" w:rsidP="00D14EA4">
      <w:pPr>
        <w:pStyle w:val="texto"/>
        <w:tabs>
          <w:tab w:val="clear" w:pos="2835"/>
          <w:tab w:val="clear" w:pos="3969"/>
          <w:tab w:val="clear" w:pos="5103"/>
          <w:tab w:val="clear" w:pos="6237"/>
          <w:tab w:val="clear" w:pos="7371"/>
        </w:tabs>
        <w:rPr>
          <w:spacing w:val="-2"/>
          <w:szCs w:val="26"/>
        </w:rPr>
      </w:pPr>
      <w:r w:rsidRPr="00FB4AFC">
        <w:rPr>
          <w:spacing w:val="-2"/>
          <w:szCs w:val="26"/>
        </w:rPr>
        <w:t>La jurisprudencia está determinando que se puede derivar la responsabilidad a los administradores</w:t>
      </w:r>
      <w:r w:rsidR="00262B16">
        <w:rPr>
          <w:spacing w:val="-2"/>
          <w:szCs w:val="26"/>
        </w:rPr>
        <w:t xml:space="preserve"> de sociedades en concurso en determinados supuestos</w:t>
      </w:r>
      <w:r w:rsidR="005C37EB" w:rsidRPr="00FB4AFC">
        <w:rPr>
          <w:spacing w:val="-2"/>
          <w:szCs w:val="26"/>
        </w:rPr>
        <w:t>. Igualmente,</w:t>
      </w:r>
      <w:r w:rsidRPr="00FB4AFC">
        <w:rPr>
          <w:spacing w:val="-2"/>
          <w:szCs w:val="26"/>
        </w:rPr>
        <w:t xml:space="preserve"> </w:t>
      </w:r>
      <w:r w:rsidR="005C37EB" w:rsidRPr="00FB4AFC">
        <w:rPr>
          <w:spacing w:val="-2"/>
          <w:szCs w:val="26"/>
        </w:rPr>
        <w:t>e</w:t>
      </w:r>
      <w:r w:rsidRPr="00FB4AFC">
        <w:rPr>
          <w:spacing w:val="-2"/>
          <w:szCs w:val="26"/>
        </w:rPr>
        <w:t>n el caso de que el concurso se</w:t>
      </w:r>
      <w:r w:rsidR="00FB4AFC" w:rsidRPr="00FB4AFC">
        <w:rPr>
          <w:spacing w:val="-2"/>
          <w:szCs w:val="26"/>
        </w:rPr>
        <w:t>a</w:t>
      </w:r>
      <w:r w:rsidRPr="00FB4AFC">
        <w:rPr>
          <w:spacing w:val="-2"/>
          <w:szCs w:val="26"/>
        </w:rPr>
        <w:t xml:space="preserve"> declar</w:t>
      </w:r>
      <w:r w:rsidR="00FB4AFC" w:rsidRPr="00FB4AFC">
        <w:rPr>
          <w:spacing w:val="-2"/>
          <w:szCs w:val="26"/>
        </w:rPr>
        <w:t>ado</w:t>
      </w:r>
      <w:r w:rsidRPr="00FB4AFC">
        <w:rPr>
          <w:spacing w:val="-2"/>
          <w:szCs w:val="26"/>
        </w:rPr>
        <w:t xml:space="preserve"> por el juez como culpable, la </w:t>
      </w:r>
      <w:r w:rsidR="00AF25EC" w:rsidRPr="00FB4AFC">
        <w:rPr>
          <w:spacing w:val="-2"/>
          <w:szCs w:val="26"/>
        </w:rPr>
        <w:t>Agencia E</w:t>
      </w:r>
      <w:r w:rsidR="00AF25EC" w:rsidRPr="00FB4AFC">
        <w:rPr>
          <w:spacing w:val="-2"/>
          <w:szCs w:val="26"/>
        </w:rPr>
        <w:t>s</w:t>
      </w:r>
      <w:r w:rsidR="00AF25EC" w:rsidRPr="00FB4AFC">
        <w:rPr>
          <w:spacing w:val="-2"/>
          <w:szCs w:val="26"/>
        </w:rPr>
        <w:t xml:space="preserve">tatal de Administración de Tributos </w:t>
      </w:r>
      <w:r w:rsidRPr="00FB4AFC">
        <w:rPr>
          <w:spacing w:val="-2"/>
          <w:szCs w:val="26"/>
        </w:rPr>
        <w:t>está trabajando para que se puedan derivar re</w:t>
      </w:r>
      <w:r w:rsidRPr="00FB4AFC">
        <w:rPr>
          <w:spacing w:val="-2"/>
          <w:szCs w:val="26"/>
        </w:rPr>
        <w:t>s</w:t>
      </w:r>
      <w:r w:rsidRPr="00FB4AFC">
        <w:rPr>
          <w:spacing w:val="-2"/>
          <w:szCs w:val="26"/>
        </w:rPr>
        <w:t>ponsabilidades</w:t>
      </w:r>
      <w:r w:rsidR="005C37EB" w:rsidRPr="00FB4AFC">
        <w:rPr>
          <w:spacing w:val="-2"/>
          <w:szCs w:val="26"/>
        </w:rPr>
        <w:t>, derivaciones cuyo importe solo incluyen el principal de la deuda.</w:t>
      </w:r>
    </w:p>
    <w:p w:rsidR="00FA090A" w:rsidRPr="00A63248" w:rsidRDefault="0039414D" w:rsidP="00BC1B66">
      <w:pPr>
        <w:pStyle w:val="texto"/>
        <w:tabs>
          <w:tab w:val="clear" w:pos="2835"/>
          <w:tab w:val="clear" w:pos="3969"/>
          <w:tab w:val="clear" w:pos="5103"/>
          <w:tab w:val="clear" w:pos="6237"/>
          <w:tab w:val="clear" w:pos="7371"/>
        </w:tabs>
        <w:rPr>
          <w:spacing w:val="4"/>
          <w:szCs w:val="26"/>
        </w:rPr>
      </w:pPr>
      <w:r w:rsidRPr="00A63248">
        <w:rPr>
          <w:szCs w:val="26"/>
        </w:rPr>
        <w:t xml:space="preserve">f) </w:t>
      </w:r>
      <w:r w:rsidRPr="00A63248">
        <w:rPr>
          <w:b/>
          <w:szCs w:val="26"/>
        </w:rPr>
        <w:t>Comprobación, investigación y enajenación de bienes embargados</w:t>
      </w:r>
      <w:r w:rsidRPr="00A63248">
        <w:rPr>
          <w:szCs w:val="26"/>
        </w:rPr>
        <w:t xml:space="preserve">. </w:t>
      </w:r>
      <w:r w:rsidR="00520E80" w:rsidRPr="00A63248">
        <w:rPr>
          <w:szCs w:val="26"/>
        </w:rPr>
        <w:t>Destacamos que, mediante la Ley Foral 23/2015, de 28 de diciembre, de mod</w:t>
      </w:r>
      <w:r w:rsidR="00520E80" w:rsidRPr="00A63248">
        <w:rPr>
          <w:szCs w:val="26"/>
        </w:rPr>
        <w:t>i</w:t>
      </w:r>
      <w:r w:rsidR="00520E80" w:rsidRPr="00A63248">
        <w:rPr>
          <w:szCs w:val="26"/>
        </w:rPr>
        <w:t>ficación de diversos impuestos y otras medidas tributarias, se faculta desde 2016 a los funcionarios que desempeñen puestos de trabajo en órganos de r</w:t>
      </w:r>
      <w:r w:rsidR="00520E80" w:rsidRPr="00A63248">
        <w:rPr>
          <w:szCs w:val="26"/>
        </w:rPr>
        <w:t>e</w:t>
      </w:r>
      <w:r w:rsidR="00520E80" w:rsidRPr="00A63248">
        <w:rPr>
          <w:szCs w:val="26"/>
        </w:rPr>
        <w:t>caudación a personarse en el domicilio comercial del deudor, con su consent</w:t>
      </w:r>
      <w:r w:rsidR="00520E80" w:rsidRPr="00A63248">
        <w:rPr>
          <w:szCs w:val="26"/>
        </w:rPr>
        <w:t>i</w:t>
      </w:r>
      <w:r w:rsidR="00520E80" w:rsidRPr="00A63248">
        <w:rPr>
          <w:szCs w:val="26"/>
        </w:rPr>
        <w:t xml:space="preserve">miento o con autorización </w:t>
      </w:r>
      <w:r w:rsidR="00D95EA7">
        <w:rPr>
          <w:szCs w:val="26"/>
        </w:rPr>
        <w:t>administrativa, siendo necesaria la autorización jud</w:t>
      </w:r>
      <w:r w:rsidR="00D95EA7">
        <w:rPr>
          <w:szCs w:val="26"/>
        </w:rPr>
        <w:t>i</w:t>
      </w:r>
      <w:r w:rsidR="00D95EA7">
        <w:rPr>
          <w:szCs w:val="26"/>
        </w:rPr>
        <w:t>cial para la entrada en el citado domicilio</w:t>
      </w:r>
      <w:r w:rsidR="00520E80" w:rsidRPr="00A63248">
        <w:rPr>
          <w:szCs w:val="26"/>
        </w:rPr>
        <w:t xml:space="preserve">. </w:t>
      </w:r>
      <w:r w:rsidR="00520E80" w:rsidRPr="00A63248">
        <w:rPr>
          <w:spacing w:val="4"/>
          <w:szCs w:val="26"/>
        </w:rPr>
        <w:t>Con esta norma se equipara a estos funcionarios con las competencias de la Inspección Tributaria y va a permitir realizar un seguimiento más exhaustivo sobre aquellos deudores sobre los que no resulten, en principio, efectivos los procedimientos</w:t>
      </w:r>
      <w:r w:rsidR="00D95EA7">
        <w:rPr>
          <w:spacing w:val="4"/>
          <w:szCs w:val="26"/>
        </w:rPr>
        <w:t xml:space="preserve"> ordinarios</w:t>
      </w:r>
      <w:r w:rsidR="00520E80" w:rsidRPr="00A63248">
        <w:rPr>
          <w:spacing w:val="4"/>
          <w:szCs w:val="26"/>
        </w:rPr>
        <w:t xml:space="preserve"> de embargo.</w:t>
      </w:r>
    </w:p>
    <w:p w:rsidR="002D06E5" w:rsidRPr="00A63248" w:rsidRDefault="002D06E5" w:rsidP="00387C4D">
      <w:pPr>
        <w:pStyle w:val="texto"/>
        <w:tabs>
          <w:tab w:val="clear" w:pos="2835"/>
          <w:tab w:val="clear" w:pos="3969"/>
          <w:tab w:val="clear" w:pos="5103"/>
          <w:tab w:val="clear" w:pos="6237"/>
          <w:tab w:val="clear" w:pos="7371"/>
        </w:tabs>
        <w:rPr>
          <w:szCs w:val="26"/>
        </w:rPr>
      </w:pPr>
      <w:r w:rsidRPr="00A63248">
        <w:rPr>
          <w:szCs w:val="26"/>
        </w:rPr>
        <w:t xml:space="preserve">Sobre el embargo de bienes, señalamos que, en el caso de que no se enajenen los bienes en subasta con dos licitaciones y transcurran más de seis meses sin </w:t>
      </w:r>
      <w:r w:rsidR="00D95EA7">
        <w:rPr>
          <w:szCs w:val="26"/>
        </w:rPr>
        <w:t>concluir la venta mediante adjudicación</w:t>
      </w:r>
      <w:r w:rsidRPr="00A63248">
        <w:rPr>
          <w:szCs w:val="26"/>
        </w:rPr>
        <w:t xml:space="preserve"> directa por la administración, se leva</w:t>
      </w:r>
      <w:r w:rsidRPr="00A63248">
        <w:rPr>
          <w:szCs w:val="26"/>
        </w:rPr>
        <w:t>n</w:t>
      </w:r>
      <w:r w:rsidRPr="00A63248">
        <w:rPr>
          <w:szCs w:val="26"/>
        </w:rPr>
        <w:t>ta el embargo</w:t>
      </w:r>
      <w:r w:rsidR="00D95EA7">
        <w:rPr>
          <w:szCs w:val="26"/>
        </w:rPr>
        <w:t xml:space="preserve"> de los bienes muebles</w:t>
      </w:r>
      <w:r w:rsidRPr="00A63248">
        <w:rPr>
          <w:szCs w:val="26"/>
        </w:rPr>
        <w:t>, se devuelven dichos bienes al deudor y</w:t>
      </w:r>
      <w:r w:rsidR="00701ED2" w:rsidRPr="00A63248">
        <w:rPr>
          <w:szCs w:val="26"/>
        </w:rPr>
        <w:t>, si no existieran otros bienes susceptibles de embargo, se declarará la insolvencia por el déficit resultante.</w:t>
      </w:r>
    </w:p>
    <w:p w:rsidR="00F47E45" w:rsidRDefault="002D06E5" w:rsidP="006A2986">
      <w:pPr>
        <w:pStyle w:val="texto"/>
        <w:tabs>
          <w:tab w:val="clear" w:pos="2835"/>
          <w:tab w:val="clear" w:pos="3969"/>
          <w:tab w:val="clear" w:pos="5103"/>
          <w:tab w:val="clear" w:pos="6237"/>
          <w:tab w:val="clear" w:pos="7371"/>
        </w:tabs>
        <w:rPr>
          <w:szCs w:val="26"/>
        </w:rPr>
      </w:pPr>
      <w:r w:rsidRPr="00A63248">
        <w:rPr>
          <w:szCs w:val="26"/>
        </w:rPr>
        <w:t>También existe la posibilidad legal de la adjudicación de los bienes anteri</w:t>
      </w:r>
      <w:r w:rsidRPr="00A63248">
        <w:rPr>
          <w:szCs w:val="26"/>
        </w:rPr>
        <w:t>o</w:t>
      </w:r>
      <w:r w:rsidRPr="00A63248">
        <w:rPr>
          <w:szCs w:val="26"/>
        </w:rPr>
        <w:t>res a la Administración de la Comunidad Foral</w:t>
      </w:r>
      <w:r w:rsidR="00701ED2" w:rsidRPr="00A63248">
        <w:rPr>
          <w:szCs w:val="26"/>
        </w:rPr>
        <w:t>, previo informe preceptivo del Servicio de Patrimonio en el que se indique si dichos bienes tiene utilidad o no para la propia Administración.</w:t>
      </w:r>
    </w:p>
    <w:p w:rsidR="00D95EA7" w:rsidRDefault="00D95EA7" w:rsidP="006A2986">
      <w:pPr>
        <w:pStyle w:val="texto"/>
        <w:tabs>
          <w:tab w:val="clear" w:pos="2835"/>
          <w:tab w:val="clear" w:pos="3969"/>
          <w:tab w:val="clear" w:pos="5103"/>
          <w:tab w:val="clear" w:pos="6237"/>
          <w:tab w:val="clear" w:pos="7371"/>
        </w:tabs>
        <w:rPr>
          <w:szCs w:val="26"/>
        </w:rPr>
      </w:pPr>
      <w:r>
        <w:rPr>
          <w:szCs w:val="26"/>
        </w:rPr>
        <w:t>Desde el Servicio de Recaudación se está analizando las condiciones que r</w:t>
      </w:r>
      <w:r>
        <w:rPr>
          <w:szCs w:val="26"/>
        </w:rPr>
        <w:t>e</w:t>
      </w:r>
      <w:r>
        <w:rPr>
          <w:szCs w:val="26"/>
        </w:rPr>
        <w:t>gulan las ventas de bienes embargados con el objeto de hacerlas más eficaces.</w:t>
      </w:r>
    </w:p>
    <w:p w:rsidR="00D95EA7" w:rsidRPr="00A63248" w:rsidRDefault="00D95EA7" w:rsidP="006A2986">
      <w:pPr>
        <w:pStyle w:val="texto"/>
        <w:tabs>
          <w:tab w:val="clear" w:pos="2835"/>
          <w:tab w:val="clear" w:pos="3969"/>
          <w:tab w:val="clear" w:pos="5103"/>
          <w:tab w:val="clear" w:pos="6237"/>
          <w:tab w:val="clear" w:pos="7371"/>
        </w:tabs>
        <w:rPr>
          <w:szCs w:val="26"/>
        </w:rPr>
      </w:pPr>
    </w:p>
    <w:p w:rsidR="0019759C" w:rsidRDefault="0019759C">
      <w:pPr>
        <w:spacing w:after="0"/>
        <w:ind w:firstLine="0"/>
        <w:jc w:val="left"/>
        <w:rPr>
          <w:rFonts w:ascii="Arial" w:hAnsi="Arial"/>
          <w:bCs/>
          <w:iCs/>
          <w:color w:val="000000"/>
          <w:spacing w:val="10"/>
          <w:kern w:val="28"/>
          <w:sz w:val="25"/>
          <w:szCs w:val="26"/>
        </w:rPr>
      </w:pPr>
      <w:bookmarkStart w:id="24" w:name="_Toc465150107"/>
      <w:r>
        <w:br w:type="page"/>
      </w:r>
    </w:p>
    <w:p w:rsidR="002A5CCD" w:rsidRDefault="002A5CCD" w:rsidP="002A5CCD">
      <w:pPr>
        <w:pStyle w:val="atitulo2"/>
      </w:pPr>
      <w:r>
        <w:lastRenderedPageBreak/>
        <w:t>V.2. Recomendaciones</w:t>
      </w:r>
      <w:bookmarkEnd w:id="24"/>
    </w:p>
    <w:p w:rsidR="00B700AC" w:rsidRPr="002A5CCD" w:rsidRDefault="002A5CCD" w:rsidP="002A5CCD">
      <w:pPr>
        <w:pStyle w:val="texto"/>
        <w:tabs>
          <w:tab w:val="clear" w:pos="2835"/>
          <w:tab w:val="clear" w:pos="3969"/>
          <w:tab w:val="clear" w:pos="5103"/>
          <w:tab w:val="clear" w:pos="6237"/>
          <w:tab w:val="clear" w:pos="7371"/>
        </w:tabs>
        <w:rPr>
          <w:szCs w:val="26"/>
        </w:rPr>
      </w:pPr>
      <w:r w:rsidRPr="002A5CCD">
        <w:rPr>
          <w:szCs w:val="26"/>
        </w:rPr>
        <w:t>Del trabajo realizado, señalamos las siguientes recomendaciones</w:t>
      </w:r>
      <w:r w:rsidR="00705B89">
        <w:rPr>
          <w:szCs w:val="26"/>
        </w:rPr>
        <w:t>:</w:t>
      </w:r>
    </w:p>
    <w:p w:rsidR="00B700AC" w:rsidRPr="00A63248" w:rsidRDefault="006A2986" w:rsidP="00527EA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szCs w:val="26"/>
        </w:rPr>
      </w:pPr>
      <w:r w:rsidRPr="00A63248">
        <w:rPr>
          <w:i/>
          <w:szCs w:val="26"/>
        </w:rPr>
        <w:t>Continuar con el proceso de automatización de los procedimientos de r</w:t>
      </w:r>
      <w:r w:rsidRPr="00A63248">
        <w:rPr>
          <w:i/>
          <w:szCs w:val="26"/>
        </w:rPr>
        <w:t>e</w:t>
      </w:r>
      <w:r w:rsidRPr="00A63248">
        <w:rPr>
          <w:i/>
          <w:szCs w:val="26"/>
        </w:rPr>
        <w:t>caudación y de prescripción, al objeto de facilitar la gestión de los mismos.</w:t>
      </w:r>
    </w:p>
    <w:p w:rsidR="00F34276" w:rsidRPr="00705B89" w:rsidRDefault="00F34276" w:rsidP="00527EA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spacing w:val="-2"/>
          <w:szCs w:val="26"/>
        </w:rPr>
      </w:pPr>
      <w:r w:rsidRPr="00705B89">
        <w:rPr>
          <w:i/>
          <w:spacing w:val="-2"/>
          <w:szCs w:val="26"/>
        </w:rPr>
        <w:t xml:space="preserve">Analizar la </w:t>
      </w:r>
      <w:r w:rsidR="00534307" w:rsidRPr="00705B89">
        <w:rPr>
          <w:i/>
          <w:spacing w:val="-2"/>
          <w:szCs w:val="26"/>
        </w:rPr>
        <w:t>idoneidad</w:t>
      </w:r>
      <w:r w:rsidRPr="00705B89">
        <w:rPr>
          <w:i/>
          <w:spacing w:val="-2"/>
          <w:szCs w:val="26"/>
        </w:rPr>
        <w:t xml:space="preserve"> de la actual dotación de personal ante el volumen de de</w:t>
      </w:r>
      <w:r w:rsidRPr="00705B89">
        <w:rPr>
          <w:i/>
          <w:spacing w:val="-2"/>
          <w:szCs w:val="26"/>
        </w:rPr>
        <w:t>u</w:t>
      </w:r>
      <w:r w:rsidRPr="00705B89">
        <w:rPr>
          <w:i/>
          <w:spacing w:val="-2"/>
          <w:szCs w:val="26"/>
        </w:rPr>
        <w:t>da a gestionar, la incidencia de su actividad en la recaudación, la carga de trabajo que la misma exige y las especiales situaciones a las que tiene que hacer frente.</w:t>
      </w:r>
    </w:p>
    <w:p w:rsidR="00534307" w:rsidRPr="00A63248" w:rsidRDefault="00534307" w:rsidP="00534307">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szCs w:val="26"/>
        </w:rPr>
      </w:pPr>
      <w:r w:rsidRPr="00A63248">
        <w:rPr>
          <w:i/>
          <w:szCs w:val="26"/>
        </w:rPr>
        <w:t xml:space="preserve">Elaborar las estadísticas y memorias precisas para </w:t>
      </w:r>
      <w:r w:rsidR="009F10A6">
        <w:rPr>
          <w:i/>
          <w:szCs w:val="26"/>
        </w:rPr>
        <w:t>mejorar</w:t>
      </w:r>
      <w:r w:rsidRPr="00A63248">
        <w:rPr>
          <w:i/>
          <w:szCs w:val="26"/>
        </w:rPr>
        <w:t xml:space="preserve"> el control de la gestión a efectuar.</w:t>
      </w:r>
    </w:p>
    <w:p w:rsidR="003F5312" w:rsidRPr="00A63248" w:rsidRDefault="003F5312" w:rsidP="00527EA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szCs w:val="26"/>
        </w:rPr>
      </w:pPr>
      <w:r w:rsidRPr="00A63248">
        <w:rPr>
          <w:i/>
          <w:szCs w:val="26"/>
        </w:rPr>
        <w:t xml:space="preserve">Proseguir el proceso de </w:t>
      </w:r>
      <w:r w:rsidR="00DC75A2" w:rsidRPr="00A63248">
        <w:rPr>
          <w:i/>
          <w:szCs w:val="26"/>
        </w:rPr>
        <w:t>depuración sobre las</w:t>
      </w:r>
      <w:r w:rsidRPr="00A63248">
        <w:rPr>
          <w:i/>
          <w:szCs w:val="26"/>
        </w:rPr>
        <w:t xml:space="preserve"> deudas </w:t>
      </w:r>
      <w:r w:rsidR="002A3CF8" w:rsidRPr="00A63248">
        <w:rPr>
          <w:i/>
          <w:szCs w:val="26"/>
        </w:rPr>
        <w:t xml:space="preserve">ya </w:t>
      </w:r>
      <w:r w:rsidR="00DC75A2" w:rsidRPr="00A63248">
        <w:rPr>
          <w:i/>
          <w:szCs w:val="26"/>
        </w:rPr>
        <w:t>prescritas.</w:t>
      </w:r>
    </w:p>
    <w:p w:rsidR="003F5312" w:rsidRPr="00FF2612" w:rsidRDefault="00D95EA7" w:rsidP="00527EA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spacing w:val="4"/>
          <w:szCs w:val="26"/>
        </w:rPr>
      </w:pPr>
      <w:r>
        <w:rPr>
          <w:i/>
          <w:spacing w:val="4"/>
          <w:szCs w:val="26"/>
        </w:rPr>
        <w:t>Aprobar la orden foral que desarrolla</w:t>
      </w:r>
      <w:r w:rsidR="003F5312" w:rsidRPr="00FF2612">
        <w:rPr>
          <w:i/>
          <w:spacing w:val="4"/>
          <w:szCs w:val="26"/>
        </w:rPr>
        <w:t xml:space="preserve"> </w:t>
      </w:r>
      <w:r w:rsidR="00DC75A2" w:rsidRPr="00FF2612">
        <w:rPr>
          <w:i/>
          <w:spacing w:val="4"/>
          <w:szCs w:val="26"/>
        </w:rPr>
        <w:t>las previsiones de la LFHP sobre los derechos de baja cuantía.</w:t>
      </w:r>
    </w:p>
    <w:p w:rsidR="00DC75A2" w:rsidRPr="00A63248" w:rsidRDefault="009F10A6" w:rsidP="00527EA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szCs w:val="26"/>
        </w:rPr>
      </w:pPr>
      <w:r>
        <w:rPr>
          <w:i/>
          <w:szCs w:val="26"/>
        </w:rPr>
        <w:t>Agilizar</w:t>
      </w:r>
      <w:r w:rsidR="00DC75A2" w:rsidRPr="00A63248">
        <w:rPr>
          <w:i/>
          <w:szCs w:val="26"/>
        </w:rPr>
        <w:t xml:space="preserve"> la declaración de deudores fallidos, introduciendo en el proceso informático la emisión de las mismas.</w:t>
      </w:r>
    </w:p>
    <w:p w:rsidR="00DC75A2" w:rsidRPr="00A63248" w:rsidRDefault="00DC75A2" w:rsidP="00527EA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szCs w:val="26"/>
        </w:rPr>
      </w:pPr>
      <w:r w:rsidRPr="00A63248">
        <w:rPr>
          <w:i/>
          <w:szCs w:val="26"/>
        </w:rPr>
        <w:t xml:space="preserve">Vinculado con la recomendación anterior, extender las declaraciones de derivación de responsabilidades y mejorar de forma automatizada su control. </w:t>
      </w:r>
    </w:p>
    <w:p w:rsidR="00DC75A2" w:rsidRPr="00A63248" w:rsidRDefault="002A3CF8" w:rsidP="00527EAA">
      <w:pPr>
        <w:pStyle w:val="texto"/>
        <w:numPr>
          <w:ilvl w:val="0"/>
          <w:numId w:val="2"/>
        </w:numPr>
        <w:tabs>
          <w:tab w:val="clear" w:pos="1948"/>
          <w:tab w:val="clear" w:pos="2835"/>
          <w:tab w:val="clear" w:pos="3969"/>
          <w:tab w:val="clear" w:pos="5103"/>
          <w:tab w:val="clear" w:pos="6237"/>
          <w:tab w:val="clear" w:pos="7371"/>
          <w:tab w:val="num" w:pos="300"/>
          <w:tab w:val="left" w:pos="480"/>
          <w:tab w:val="num" w:pos="4920"/>
        </w:tabs>
        <w:ind w:left="0" w:firstLine="290"/>
        <w:rPr>
          <w:i/>
          <w:szCs w:val="26"/>
        </w:rPr>
      </w:pPr>
      <w:r w:rsidRPr="00A63248">
        <w:rPr>
          <w:i/>
          <w:szCs w:val="26"/>
        </w:rPr>
        <w:t>Para el embargo de bienes, a</w:t>
      </w:r>
      <w:r w:rsidR="00DC75A2" w:rsidRPr="00A63248">
        <w:rPr>
          <w:i/>
          <w:szCs w:val="26"/>
        </w:rPr>
        <w:t>nte la actual situación del mercado inmob</w:t>
      </w:r>
      <w:r w:rsidR="00DC75A2" w:rsidRPr="00A63248">
        <w:rPr>
          <w:i/>
          <w:szCs w:val="26"/>
        </w:rPr>
        <w:t>i</w:t>
      </w:r>
      <w:r w:rsidR="00DC75A2" w:rsidRPr="00A63248">
        <w:rPr>
          <w:i/>
          <w:szCs w:val="26"/>
        </w:rPr>
        <w:t xml:space="preserve">liario, analizar tanto la razonabilidad del plazo de seis meses para la </w:t>
      </w:r>
      <w:r w:rsidRPr="00A63248">
        <w:rPr>
          <w:i/>
          <w:szCs w:val="26"/>
        </w:rPr>
        <w:t>enajen</w:t>
      </w:r>
      <w:r w:rsidRPr="00A63248">
        <w:rPr>
          <w:i/>
          <w:szCs w:val="26"/>
        </w:rPr>
        <w:t>a</w:t>
      </w:r>
      <w:r w:rsidRPr="00A63248">
        <w:rPr>
          <w:i/>
          <w:szCs w:val="26"/>
        </w:rPr>
        <w:t>ción</w:t>
      </w:r>
      <w:r w:rsidR="00DC75A2" w:rsidRPr="00A63248">
        <w:rPr>
          <w:i/>
          <w:szCs w:val="26"/>
        </w:rPr>
        <w:t xml:space="preserve"> directa de los bienes que no se hayan adjudicado en la</w:t>
      </w:r>
      <w:r w:rsidR="00623E93" w:rsidRPr="00A63248">
        <w:rPr>
          <w:i/>
          <w:szCs w:val="26"/>
        </w:rPr>
        <w:t>s correspondientes subastas como la participación en el proceso de empresas especializadas.</w:t>
      </w:r>
      <w:r w:rsidR="00DC75A2" w:rsidRPr="00A63248">
        <w:rPr>
          <w:i/>
          <w:szCs w:val="26"/>
        </w:rPr>
        <w:t xml:space="preserve"> </w:t>
      </w:r>
    </w:p>
    <w:p w:rsidR="00554EF2" w:rsidRPr="00554EF2" w:rsidRDefault="00554EF2" w:rsidP="00554EF2">
      <w:pPr>
        <w:pStyle w:val="texto"/>
        <w:tabs>
          <w:tab w:val="clear" w:pos="2835"/>
          <w:tab w:val="clear" w:pos="3969"/>
          <w:tab w:val="clear" w:pos="5103"/>
          <w:tab w:val="clear" w:pos="6237"/>
          <w:tab w:val="clear" w:pos="7371"/>
        </w:tabs>
        <w:spacing w:after="0"/>
        <w:rPr>
          <w:szCs w:val="26"/>
        </w:rPr>
      </w:pPr>
      <w:r w:rsidRPr="00554EF2">
        <w:rPr>
          <w:szCs w:val="26"/>
        </w:rPr>
        <w:t>Informe que se emite a propuesta del auditor Ignacio Cabeza Del Salvador, responsable de la realización de este trabajo, una vez cumplimentados los tr</w:t>
      </w:r>
      <w:r w:rsidRPr="00554EF2">
        <w:rPr>
          <w:szCs w:val="26"/>
        </w:rPr>
        <w:t>á</w:t>
      </w:r>
      <w:r w:rsidRPr="00554EF2">
        <w:rPr>
          <w:szCs w:val="26"/>
        </w:rPr>
        <w:t>mites previstos por la normativa vigente.</w:t>
      </w:r>
    </w:p>
    <w:p w:rsidR="00F47E45" w:rsidRPr="00554EF2" w:rsidRDefault="00F47E45" w:rsidP="00A63248">
      <w:pPr>
        <w:spacing w:after="0"/>
        <w:ind w:firstLine="0"/>
        <w:jc w:val="center"/>
        <w:rPr>
          <w:sz w:val="26"/>
          <w:szCs w:val="26"/>
          <w:lang w:val="es-ES"/>
        </w:rPr>
      </w:pPr>
    </w:p>
    <w:p w:rsidR="00F47E45" w:rsidRDefault="00A63248" w:rsidP="00A63248">
      <w:pPr>
        <w:spacing w:after="0"/>
        <w:ind w:firstLine="0"/>
        <w:jc w:val="center"/>
        <w:rPr>
          <w:sz w:val="26"/>
          <w:szCs w:val="26"/>
        </w:rPr>
      </w:pPr>
      <w:r w:rsidRPr="00A63248">
        <w:rPr>
          <w:sz w:val="26"/>
          <w:szCs w:val="26"/>
        </w:rPr>
        <w:t>Pamplona,</w:t>
      </w:r>
      <w:r w:rsidR="00E91952">
        <w:rPr>
          <w:sz w:val="26"/>
          <w:szCs w:val="26"/>
        </w:rPr>
        <w:t xml:space="preserve"> </w:t>
      </w:r>
      <w:r w:rsidR="002803B0">
        <w:rPr>
          <w:sz w:val="26"/>
          <w:szCs w:val="26"/>
        </w:rPr>
        <w:t>7</w:t>
      </w:r>
      <w:r w:rsidR="00554EF2">
        <w:rPr>
          <w:sz w:val="26"/>
          <w:szCs w:val="26"/>
        </w:rPr>
        <w:t xml:space="preserve"> d</w:t>
      </w:r>
      <w:r w:rsidRPr="00A63248">
        <w:rPr>
          <w:sz w:val="26"/>
          <w:szCs w:val="26"/>
        </w:rPr>
        <w:t xml:space="preserve">e </w:t>
      </w:r>
      <w:r w:rsidR="002803B0">
        <w:rPr>
          <w:sz w:val="26"/>
          <w:szCs w:val="26"/>
        </w:rPr>
        <w:t>noviembre</w:t>
      </w:r>
      <w:r w:rsidRPr="00A63248">
        <w:rPr>
          <w:sz w:val="26"/>
          <w:szCs w:val="26"/>
        </w:rPr>
        <w:t xml:space="preserve"> de 2016</w:t>
      </w:r>
    </w:p>
    <w:p w:rsidR="00AD5A3F" w:rsidRDefault="00AD5A3F" w:rsidP="00A63248">
      <w:pPr>
        <w:spacing w:after="0"/>
        <w:ind w:firstLine="0"/>
        <w:jc w:val="center"/>
        <w:rPr>
          <w:sz w:val="26"/>
          <w:szCs w:val="26"/>
        </w:rPr>
      </w:pPr>
    </w:p>
    <w:p w:rsidR="00AD5A3F" w:rsidRDefault="004416C4" w:rsidP="00A63248">
      <w:pPr>
        <w:spacing w:after="0"/>
        <w:ind w:firstLine="0"/>
        <w:jc w:val="center"/>
        <w:rPr>
          <w:sz w:val="26"/>
          <w:szCs w:val="26"/>
        </w:rPr>
      </w:pPr>
      <w:r>
        <w:rPr>
          <w:sz w:val="26"/>
          <w:szCs w:val="26"/>
        </w:rPr>
        <w:t>La presidenta,</w:t>
      </w:r>
    </w:p>
    <w:p w:rsidR="004416C4" w:rsidRDefault="004416C4" w:rsidP="00A63248">
      <w:pPr>
        <w:spacing w:after="0"/>
        <w:ind w:firstLine="0"/>
        <w:jc w:val="center"/>
        <w:rPr>
          <w:sz w:val="26"/>
          <w:szCs w:val="26"/>
        </w:rPr>
      </w:pPr>
      <w:r>
        <w:rPr>
          <w:sz w:val="26"/>
          <w:szCs w:val="26"/>
        </w:rPr>
        <w:t>Asunción Olaechea Estanga</w:t>
      </w:r>
    </w:p>
    <w:p w:rsidR="00554EF2" w:rsidRPr="00A63248" w:rsidRDefault="00554EF2" w:rsidP="00A63248">
      <w:pPr>
        <w:spacing w:after="0"/>
        <w:ind w:firstLine="0"/>
        <w:jc w:val="center"/>
        <w:rPr>
          <w:sz w:val="26"/>
          <w:szCs w:val="26"/>
        </w:rPr>
      </w:pPr>
    </w:p>
    <w:sectPr w:rsidR="00554EF2" w:rsidRPr="00A63248" w:rsidSect="00482F67">
      <w:footerReference w:type="default" r:id="rId16"/>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D4" w:rsidRDefault="00A976D4">
      <w:r>
        <w:separator/>
      </w:r>
    </w:p>
    <w:p w:rsidR="00A976D4" w:rsidRDefault="00A976D4"/>
    <w:p w:rsidR="00A976D4" w:rsidRDefault="00A976D4"/>
    <w:p w:rsidR="00A976D4" w:rsidRDefault="00A976D4"/>
  </w:endnote>
  <w:endnote w:type="continuationSeparator" w:id="0">
    <w:p w:rsidR="00A976D4" w:rsidRDefault="00A976D4">
      <w:r>
        <w:continuationSeparator/>
      </w:r>
    </w:p>
    <w:p w:rsidR="00A976D4" w:rsidRDefault="00A976D4"/>
    <w:p w:rsidR="00A976D4" w:rsidRDefault="00A976D4"/>
    <w:p w:rsidR="00A976D4" w:rsidRDefault="00A97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Gentium Book Basic"/>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rajan">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80" w:rsidRDefault="00274D8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4D80" w:rsidRDefault="00274D80"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80" w:rsidRPr="00F03814" w:rsidRDefault="00274D80"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6857BE2" wp14:editId="19EE4D05">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274D80" w:rsidRPr="00F74E38" w:rsidRDefault="00274D80"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80" w:rsidRDefault="00274D80"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80" w:rsidRDefault="00274D80" w:rsidP="0072408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Fonts w:ascii="GillSans" w:hAnsi="GillSans"/>
        <w:noProof/>
        <w:lang w:val="es-ES" w:eastAsia="es-ES"/>
      </w:rPr>
      <w:drawing>
        <wp:anchor distT="0" distB="0" distL="114300" distR="114300" simplePos="0" relativeHeight="251659264" behindDoc="0" locked="0" layoutInCell="1" allowOverlap="1" wp14:anchorId="22C1C4E2" wp14:editId="7EAACAE5">
          <wp:simplePos x="0" y="0"/>
          <wp:positionH relativeFrom="column">
            <wp:posOffset>1905</wp:posOffset>
          </wp:positionH>
          <wp:positionV relativeFrom="paragraph">
            <wp:posOffset>-236220</wp:posOffset>
          </wp:positionV>
          <wp:extent cx="219075" cy="371475"/>
          <wp:effectExtent l="0" t="0" r="9525" b="9525"/>
          <wp:wrapSquare wrapText="bothSides"/>
          <wp:docPr id="40" name="Imagen 4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864979">
      <w:rPr>
        <w:rStyle w:val="Nmerodepgina"/>
        <w:noProof/>
        <w:szCs w:val="24"/>
      </w:rPr>
      <w:t>25</w:t>
    </w:r>
    <w:r w:rsidRPr="001D4F09">
      <w:rPr>
        <w:rStyle w:val="Nmerodepgina"/>
        <w:szCs w:val="24"/>
      </w:rPr>
      <w:fldChar w:fldCharType="end"/>
    </w:r>
    <w:r w:rsidRPr="001D4F09">
      <w:rPr>
        <w:rStyle w:val="Nmerodepgina"/>
        <w:szCs w:val="24"/>
      </w:rPr>
      <w:t xml:space="preserve"> </w:t>
    </w:r>
    <w:r>
      <w:rPr>
        <w:rStyle w:val="Nmerodepgina"/>
        <w:szCs w:val="24"/>
      </w:rPr>
      <w:t>-</w:t>
    </w:r>
  </w:p>
  <w:p w:rsidR="00274D80" w:rsidRDefault="00274D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D4" w:rsidRDefault="00A976D4" w:rsidP="001F2A05">
      <w:pPr>
        <w:ind w:firstLine="0"/>
      </w:pPr>
      <w:r>
        <w:separator/>
      </w:r>
    </w:p>
  </w:footnote>
  <w:footnote w:type="continuationSeparator" w:id="0">
    <w:p w:rsidR="00A976D4" w:rsidRDefault="00A976D4" w:rsidP="00A5319B">
      <w:pPr>
        <w:ind w:firstLine="0"/>
      </w:pPr>
      <w:r>
        <w:continuationSeparator/>
      </w:r>
    </w:p>
  </w:footnote>
  <w:footnote w:id="1">
    <w:p w:rsidR="00274D80" w:rsidRDefault="00274D80" w:rsidP="006256FE">
      <w:pPr>
        <w:pStyle w:val="Textonotapie"/>
        <w:spacing w:after="40"/>
        <w:ind w:firstLine="0"/>
      </w:pPr>
      <w:r>
        <w:rPr>
          <w:rStyle w:val="Refdenotaalpie"/>
        </w:rPr>
        <w:footnoteRef/>
      </w:r>
      <w:r>
        <w:t xml:space="preserve"> Unidad informativa del CAT mínima por deudor, impuesto, periodo y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80" w:rsidRPr="0059650E" w:rsidRDefault="00274D80" w:rsidP="00422598">
    <w:pPr>
      <w:pStyle w:val="Encabezado"/>
      <w:pBdr>
        <w:bottom w:val="single" w:sz="4" w:space="1" w:color="auto"/>
      </w:pBdr>
      <w:spacing w:after="40"/>
      <w:ind w:firstLine="0"/>
      <w:jc w:val="left"/>
      <w:rPr>
        <w:lang w:val="es-ES"/>
      </w:rPr>
    </w:pPr>
    <w:r>
      <w:rPr>
        <w:b/>
        <w:noProof/>
        <w:lang w:val="es-ES" w:eastAsia="es-ES"/>
      </w:rPr>
      <w:drawing>
        <wp:inline distT="0" distB="0" distL="0" distR="0" wp14:anchorId="07765097" wp14:editId="60FE64C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r>
    <w:r w:rsidR="00257CB2">
      <w:rPr>
        <w:lang w:val="es-ES"/>
      </w:rPr>
      <w:t xml:space="preserve">                          </w:t>
    </w:r>
    <w:r>
      <w:rPr>
        <w:lang w:val="es-ES"/>
      </w:rPr>
      <w:t>informe de fiscalización sobre deudas tributarias prescritas (2008-2015)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80" w:rsidRDefault="00274D80" w:rsidP="006A2D41">
    <w:pPr>
      <w:pStyle w:val="Encabezado"/>
      <w:ind w:firstLine="0"/>
      <w:jc w:val="left"/>
    </w:pPr>
    <w:r>
      <w:rPr>
        <w:noProof/>
        <w:lang w:val="es-ES" w:eastAsia="es-ES"/>
      </w:rPr>
      <w:drawing>
        <wp:inline distT="0" distB="0" distL="0" distR="0" wp14:anchorId="660D69F8" wp14:editId="2BA72EEE">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D58"/>
    <w:multiLevelType w:val="hybridMultilevel"/>
    <w:tmpl w:val="3C6C7468"/>
    <w:lvl w:ilvl="0" w:tplc="CF12868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2C3B0A89"/>
    <w:multiLevelType w:val="hybridMultilevel"/>
    <w:tmpl w:val="67848812"/>
    <w:lvl w:ilvl="0" w:tplc="11B6CCA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2E0704E9"/>
    <w:multiLevelType w:val="hybridMultilevel"/>
    <w:tmpl w:val="686A438C"/>
    <w:lvl w:ilvl="0" w:tplc="76344444">
      <w:start w:val="2"/>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F9C25F5"/>
    <w:multiLevelType w:val="hybridMultilevel"/>
    <w:tmpl w:val="7D50081A"/>
    <w:lvl w:ilvl="0" w:tplc="D206F04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3DE24E14"/>
    <w:multiLevelType w:val="hybridMultilevel"/>
    <w:tmpl w:val="9F2CEAC0"/>
    <w:lvl w:ilvl="0" w:tplc="D1F2DF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1F2EC5"/>
    <w:multiLevelType w:val="hybridMultilevel"/>
    <w:tmpl w:val="2C30807C"/>
    <w:lvl w:ilvl="0" w:tplc="487663A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43E97F3E"/>
    <w:multiLevelType w:val="singleLevel"/>
    <w:tmpl w:val="0C0A0001"/>
    <w:lvl w:ilvl="0">
      <w:start w:val="1"/>
      <w:numFmt w:val="bullet"/>
      <w:lvlText w:val=""/>
      <w:lvlJc w:val="left"/>
      <w:pPr>
        <w:tabs>
          <w:tab w:val="num" w:pos="600"/>
        </w:tabs>
        <w:ind w:left="600" w:hanging="360"/>
      </w:pPr>
      <w:rPr>
        <w:rFonts w:ascii="Symbol" w:hAnsi="Symbol" w:hint="default"/>
      </w:rPr>
    </w:lvl>
  </w:abstractNum>
  <w:abstractNum w:abstractNumId="8">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9">
    <w:nsid w:val="5AE004D7"/>
    <w:multiLevelType w:val="hybridMultilevel"/>
    <w:tmpl w:val="CC9AB548"/>
    <w:lvl w:ilvl="0" w:tplc="08FCF35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nsid w:val="644B5128"/>
    <w:multiLevelType w:val="singleLevel"/>
    <w:tmpl w:val="F50A19D2"/>
    <w:lvl w:ilvl="0">
      <w:start w:val="46"/>
      <w:numFmt w:val="bullet"/>
      <w:lvlText w:val=""/>
      <w:lvlJc w:val="left"/>
      <w:pPr>
        <w:tabs>
          <w:tab w:val="num" w:pos="928"/>
        </w:tabs>
        <w:ind w:left="398" w:firstLine="170"/>
      </w:pPr>
      <w:rPr>
        <w:rFonts w:ascii="Wingdings" w:hAnsi="Wingdings" w:hint="default"/>
      </w:rPr>
    </w:lvl>
  </w:abstractNum>
  <w:abstractNum w:abstractNumId="11">
    <w:nsid w:val="79796B5C"/>
    <w:multiLevelType w:val="hybridMultilevel"/>
    <w:tmpl w:val="C0CC0A9E"/>
    <w:lvl w:ilvl="0" w:tplc="5F0CE24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1E0317"/>
    <w:multiLevelType w:val="hybridMultilevel"/>
    <w:tmpl w:val="6DCA5294"/>
    <w:lvl w:ilvl="0" w:tplc="17D8314A">
      <w:start w:val="2"/>
      <w:numFmt w:val="bullet"/>
      <w:lvlText w:val="-"/>
      <w:lvlJc w:val="left"/>
      <w:pPr>
        <w:ind w:left="1948" w:hanging="360"/>
      </w:pPr>
      <w:rPr>
        <w:rFonts w:ascii="Times New Roman" w:eastAsia="Times New Roman" w:hAnsi="Times New Roman" w:cs="Times New Roman" w:hint="default"/>
      </w:r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num w:numId="1">
    <w:abstractNumId w:val="10"/>
  </w:num>
  <w:num w:numId="2">
    <w:abstractNumId w:val="1"/>
  </w:num>
  <w:num w:numId="3">
    <w:abstractNumId w:val="11"/>
  </w:num>
  <w:num w:numId="4">
    <w:abstractNumId w:val="4"/>
  </w:num>
  <w:num w:numId="5">
    <w:abstractNumId w:val="2"/>
  </w:num>
  <w:num w:numId="6">
    <w:abstractNumId w:val="7"/>
  </w:num>
  <w:num w:numId="7">
    <w:abstractNumId w:val="5"/>
  </w:num>
  <w:num w:numId="8">
    <w:abstractNumId w:val="12"/>
  </w:num>
  <w:num w:numId="9">
    <w:abstractNumId w:val="6"/>
  </w:num>
  <w:num w:numId="10">
    <w:abstractNumId w:val="9"/>
  </w:num>
  <w:num w:numId="11">
    <w:abstractNumId w:val="0"/>
  </w:num>
  <w:num w:numId="12">
    <w:abstractNumId w:val="3"/>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CC"/>
    <w:rsid w:val="00000155"/>
    <w:rsid w:val="000004D2"/>
    <w:rsid w:val="000006BD"/>
    <w:rsid w:val="00000781"/>
    <w:rsid w:val="00000AAA"/>
    <w:rsid w:val="00000DD3"/>
    <w:rsid w:val="000019D8"/>
    <w:rsid w:val="00002221"/>
    <w:rsid w:val="00002640"/>
    <w:rsid w:val="00003073"/>
    <w:rsid w:val="00004162"/>
    <w:rsid w:val="000041F9"/>
    <w:rsid w:val="00004203"/>
    <w:rsid w:val="00004531"/>
    <w:rsid w:val="0000499E"/>
    <w:rsid w:val="00004E87"/>
    <w:rsid w:val="00005082"/>
    <w:rsid w:val="000055A2"/>
    <w:rsid w:val="00005604"/>
    <w:rsid w:val="00005A48"/>
    <w:rsid w:val="00005AAD"/>
    <w:rsid w:val="00005E98"/>
    <w:rsid w:val="00006736"/>
    <w:rsid w:val="00006A97"/>
    <w:rsid w:val="00006F99"/>
    <w:rsid w:val="00007069"/>
    <w:rsid w:val="00010F4B"/>
    <w:rsid w:val="00011172"/>
    <w:rsid w:val="0001123B"/>
    <w:rsid w:val="00011662"/>
    <w:rsid w:val="00011CCB"/>
    <w:rsid w:val="000120F8"/>
    <w:rsid w:val="0001223E"/>
    <w:rsid w:val="00012A7F"/>
    <w:rsid w:val="00012EC4"/>
    <w:rsid w:val="000132E9"/>
    <w:rsid w:val="00013553"/>
    <w:rsid w:val="00013752"/>
    <w:rsid w:val="000148C4"/>
    <w:rsid w:val="00014941"/>
    <w:rsid w:val="00015585"/>
    <w:rsid w:val="00015835"/>
    <w:rsid w:val="000165A4"/>
    <w:rsid w:val="00016A0C"/>
    <w:rsid w:val="00016A0F"/>
    <w:rsid w:val="00016CE7"/>
    <w:rsid w:val="0001781F"/>
    <w:rsid w:val="00017A3A"/>
    <w:rsid w:val="00017A48"/>
    <w:rsid w:val="00017BF7"/>
    <w:rsid w:val="000205D4"/>
    <w:rsid w:val="00020941"/>
    <w:rsid w:val="00020CD1"/>
    <w:rsid w:val="000212A1"/>
    <w:rsid w:val="000212A5"/>
    <w:rsid w:val="00021912"/>
    <w:rsid w:val="00021BF6"/>
    <w:rsid w:val="00021E2A"/>
    <w:rsid w:val="00021E3B"/>
    <w:rsid w:val="00022611"/>
    <w:rsid w:val="00022B43"/>
    <w:rsid w:val="00022FCE"/>
    <w:rsid w:val="00023062"/>
    <w:rsid w:val="00023842"/>
    <w:rsid w:val="00023EED"/>
    <w:rsid w:val="00023F3E"/>
    <w:rsid w:val="00024922"/>
    <w:rsid w:val="00024D15"/>
    <w:rsid w:val="0002530F"/>
    <w:rsid w:val="000253A5"/>
    <w:rsid w:val="00025E9B"/>
    <w:rsid w:val="00025F0D"/>
    <w:rsid w:val="00025FDF"/>
    <w:rsid w:val="00026242"/>
    <w:rsid w:val="00026720"/>
    <w:rsid w:val="00026779"/>
    <w:rsid w:val="00027034"/>
    <w:rsid w:val="00027092"/>
    <w:rsid w:val="0002788A"/>
    <w:rsid w:val="000301DB"/>
    <w:rsid w:val="000305E6"/>
    <w:rsid w:val="00030B06"/>
    <w:rsid w:val="00030EB6"/>
    <w:rsid w:val="00031839"/>
    <w:rsid w:val="00031B45"/>
    <w:rsid w:val="00032B64"/>
    <w:rsid w:val="00032BD6"/>
    <w:rsid w:val="00032D0F"/>
    <w:rsid w:val="0003340A"/>
    <w:rsid w:val="00033A91"/>
    <w:rsid w:val="00033BB1"/>
    <w:rsid w:val="00034301"/>
    <w:rsid w:val="00034399"/>
    <w:rsid w:val="000344EC"/>
    <w:rsid w:val="000349F5"/>
    <w:rsid w:val="000351F6"/>
    <w:rsid w:val="00035492"/>
    <w:rsid w:val="00035A3C"/>
    <w:rsid w:val="00036215"/>
    <w:rsid w:val="00036341"/>
    <w:rsid w:val="0003648B"/>
    <w:rsid w:val="000368F1"/>
    <w:rsid w:val="00036B82"/>
    <w:rsid w:val="00036C0F"/>
    <w:rsid w:val="00036E42"/>
    <w:rsid w:val="00036F10"/>
    <w:rsid w:val="00037F6A"/>
    <w:rsid w:val="000401DA"/>
    <w:rsid w:val="0004089C"/>
    <w:rsid w:val="00040911"/>
    <w:rsid w:val="00040DF4"/>
    <w:rsid w:val="00040FE1"/>
    <w:rsid w:val="00041D7D"/>
    <w:rsid w:val="00041F12"/>
    <w:rsid w:val="00042056"/>
    <w:rsid w:val="00042314"/>
    <w:rsid w:val="0004256B"/>
    <w:rsid w:val="00042714"/>
    <w:rsid w:val="0004305C"/>
    <w:rsid w:val="0004325C"/>
    <w:rsid w:val="0004373B"/>
    <w:rsid w:val="00043A0C"/>
    <w:rsid w:val="00043C21"/>
    <w:rsid w:val="00043F9C"/>
    <w:rsid w:val="00044875"/>
    <w:rsid w:val="000448FA"/>
    <w:rsid w:val="00044A08"/>
    <w:rsid w:val="00044F0F"/>
    <w:rsid w:val="00044F35"/>
    <w:rsid w:val="00046373"/>
    <w:rsid w:val="000464A4"/>
    <w:rsid w:val="000468C3"/>
    <w:rsid w:val="000468D3"/>
    <w:rsid w:val="00046ADB"/>
    <w:rsid w:val="00047167"/>
    <w:rsid w:val="00047297"/>
    <w:rsid w:val="000478F4"/>
    <w:rsid w:val="000504A6"/>
    <w:rsid w:val="00050708"/>
    <w:rsid w:val="00050D8C"/>
    <w:rsid w:val="00050F35"/>
    <w:rsid w:val="000521D0"/>
    <w:rsid w:val="000528F8"/>
    <w:rsid w:val="000531FF"/>
    <w:rsid w:val="00053575"/>
    <w:rsid w:val="00053783"/>
    <w:rsid w:val="000537FA"/>
    <w:rsid w:val="00053A42"/>
    <w:rsid w:val="00053AA1"/>
    <w:rsid w:val="000545CB"/>
    <w:rsid w:val="00054E9A"/>
    <w:rsid w:val="0005517D"/>
    <w:rsid w:val="000553F7"/>
    <w:rsid w:val="00055968"/>
    <w:rsid w:val="0005601A"/>
    <w:rsid w:val="000560E1"/>
    <w:rsid w:val="000561FF"/>
    <w:rsid w:val="00056408"/>
    <w:rsid w:val="00057461"/>
    <w:rsid w:val="00057914"/>
    <w:rsid w:val="000605A2"/>
    <w:rsid w:val="00060BEE"/>
    <w:rsid w:val="00060E69"/>
    <w:rsid w:val="0006133D"/>
    <w:rsid w:val="0006193A"/>
    <w:rsid w:val="000619FD"/>
    <w:rsid w:val="00061AA9"/>
    <w:rsid w:val="00062575"/>
    <w:rsid w:val="00063585"/>
    <w:rsid w:val="00063A9B"/>
    <w:rsid w:val="00064240"/>
    <w:rsid w:val="00064667"/>
    <w:rsid w:val="000649A0"/>
    <w:rsid w:val="00066838"/>
    <w:rsid w:val="000668B0"/>
    <w:rsid w:val="00066A20"/>
    <w:rsid w:val="00066FA6"/>
    <w:rsid w:val="000676C4"/>
    <w:rsid w:val="00067C61"/>
    <w:rsid w:val="00067F08"/>
    <w:rsid w:val="00070183"/>
    <w:rsid w:val="000702E1"/>
    <w:rsid w:val="000702E9"/>
    <w:rsid w:val="00071558"/>
    <w:rsid w:val="0007168C"/>
    <w:rsid w:val="00071CD0"/>
    <w:rsid w:val="00071F6B"/>
    <w:rsid w:val="00071FC3"/>
    <w:rsid w:val="00072413"/>
    <w:rsid w:val="000728EB"/>
    <w:rsid w:val="0007293A"/>
    <w:rsid w:val="00072B53"/>
    <w:rsid w:val="00073840"/>
    <w:rsid w:val="00073DA0"/>
    <w:rsid w:val="00073EAF"/>
    <w:rsid w:val="0007453D"/>
    <w:rsid w:val="00074C75"/>
    <w:rsid w:val="00074E22"/>
    <w:rsid w:val="00074ECC"/>
    <w:rsid w:val="000754B7"/>
    <w:rsid w:val="00075692"/>
    <w:rsid w:val="00075A0F"/>
    <w:rsid w:val="00075DC5"/>
    <w:rsid w:val="00075E69"/>
    <w:rsid w:val="0007622A"/>
    <w:rsid w:val="00076450"/>
    <w:rsid w:val="00076947"/>
    <w:rsid w:val="00076979"/>
    <w:rsid w:val="00076D92"/>
    <w:rsid w:val="00077297"/>
    <w:rsid w:val="000775FC"/>
    <w:rsid w:val="00077848"/>
    <w:rsid w:val="00077853"/>
    <w:rsid w:val="00080099"/>
    <w:rsid w:val="00080725"/>
    <w:rsid w:val="00080934"/>
    <w:rsid w:val="00080D16"/>
    <w:rsid w:val="000811B8"/>
    <w:rsid w:val="00081261"/>
    <w:rsid w:val="00081FE3"/>
    <w:rsid w:val="00082080"/>
    <w:rsid w:val="00082453"/>
    <w:rsid w:val="0008248E"/>
    <w:rsid w:val="000828E5"/>
    <w:rsid w:val="00082A28"/>
    <w:rsid w:val="000831B6"/>
    <w:rsid w:val="00083928"/>
    <w:rsid w:val="00083ADC"/>
    <w:rsid w:val="00084177"/>
    <w:rsid w:val="0008442F"/>
    <w:rsid w:val="00084893"/>
    <w:rsid w:val="0008507E"/>
    <w:rsid w:val="00085687"/>
    <w:rsid w:val="00085937"/>
    <w:rsid w:val="00085A30"/>
    <w:rsid w:val="00085FE3"/>
    <w:rsid w:val="000862A3"/>
    <w:rsid w:val="00086A1F"/>
    <w:rsid w:val="00086F19"/>
    <w:rsid w:val="0008748F"/>
    <w:rsid w:val="00087624"/>
    <w:rsid w:val="00087B8D"/>
    <w:rsid w:val="00087E89"/>
    <w:rsid w:val="0009040B"/>
    <w:rsid w:val="00090905"/>
    <w:rsid w:val="00090988"/>
    <w:rsid w:val="00090E15"/>
    <w:rsid w:val="00092097"/>
    <w:rsid w:val="0009232E"/>
    <w:rsid w:val="0009240A"/>
    <w:rsid w:val="00092434"/>
    <w:rsid w:val="00092DF2"/>
    <w:rsid w:val="000930A1"/>
    <w:rsid w:val="00093D67"/>
    <w:rsid w:val="00093E60"/>
    <w:rsid w:val="000940D7"/>
    <w:rsid w:val="0009411D"/>
    <w:rsid w:val="00094A47"/>
    <w:rsid w:val="00094E3B"/>
    <w:rsid w:val="00094FCF"/>
    <w:rsid w:val="00095932"/>
    <w:rsid w:val="00095941"/>
    <w:rsid w:val="00095BE9"/>
    <w:rsid w:val="000969AF"/>
    <w:rsid w:val="00096E69"/>
    <w:rsid w:val="00096EDB"/>
    <w:rsid w:val="000A01FA"/>
    <w:rsid w:val="000A08FC"/>
    <w:rsid w:val="000A09EF"/>
    <w:rsid w:val="000A0AC8"/>
    <w:rsid w:val="000A0FCD"/>
    <w:rsid w:val="000A12A7"/>
    <w:rsid w:val="000A149D"/>
    <w:rsid w:val="000A1792"/>
    <w:rsid w:val="000A18B7"/>
    <w:rsid w:val="000A2061"/>
    <w:rsid w:val="000A225D"/>
    <w:rsid w:val="000A264F"/>
    <w:rsid w:val="000A26BE"/>
    <w:rsid w:val="000A27A2"/>
    <w:rsid w:val="000A29D0"/>
    <w:rsid w:val="000A2C1E"/>
    <w:rsid w:val="000A2DDE"/>
    <w:rsid w:val="000A34D8"/>
    <w:rsid w:val="000A35C1"/>
    <w:rsid w:val="000A39A9"/>
    <w:rsid w:val="000A3FAC"/>
    <w:rsid w:val="000A4219"/>
    <w:rsid w:val="000A42F6"/>
    <w:rsid w:val="000A4697"/>
    <w:rsid w:val="000A46F3"/>
    <w:rsid w:val="000A4A9C"/>
    <w:rsid w:val="000A4EDD"/>
    <w:rsid w:val="000A4FCC"/>
    <w:rsid w:val="000A51EE"/>
    <w:rsid w:val="000A5222"/>
    <w:rsid w:val="000A525A"/>
    <w:rsid w:val="000A5621"/>
    <w:rsid w:val="000A5AD2"/>
    <w:rsid w:val="000A5B88"/>
    <w:rsid w:val="000A65EC"/>
    <w:rsid w:val="000A6C4D"/>
    <w:rsid w:val="000A7623"/>
    <w:rsid w:val="000B0434"/>
    <w:rsid w:val="000B0B1E"/>
    <w:rsid w:val="000B0D4C"/>
    <w:rsid w:val="000B0E1E"/>
    <w:rsid w:val="000B0EB1"/>
    <w:rsid w:val="000B1536"/>
    <w:rsid w:val="000B1558"/>
    <w:rsid w:val="000B1576"/>
    <w:rsid w:val="000B16D4"/>
    <w:rsid w:val="000B18ED"/>
    <w:rsid w:val="000B1AB6"/>
    <w:rsid w:val="000B23DF"/>
    <w:rsid w:val="000B2728"/>
    <w:rsid w:val="000B2764"/>
    <w:rsid w:val="000B3943"/>
    <w:rsid w:val="000B429B"/>
    <w:rsid w:val="000B4477"/>
    <w:rsid w:val="000B4696"/>
    <w:rsid w:val="000B4CF6"/>
    <w:rsid w:val="000B5023"/>
    <w:rsid w:val="000B5065"/>
    <w:rsid w:val="000B526F"/>
    <w:rsid w:val="000B55D6"/>
    <w:rsid w:val="000B59B9"/>
    <w:rsid w:val="000B6896"/>
    <w:rsid w:val="000B6F64"/>
    <w:rsid w:val="000B770E"/>
    <w:rsid w:val="000B7D3A"/>
    <w:rsid w:val="000B7D8D"/>
    <w:rsid w:val="000C03E8"/>
    <w:rsid w:val="000C03F5"/>
    <w:rsid w:val="000C0704"/>
    <w:rsid w:val="000C0828"/>
    <w:rsid w:val="000C0E93"/>
    <w:rsid w:val="000C17DD"/>
    <w:rsid w:val="000C19FC"/>
    <w:rsid w:val="000C2411"/>
    <w:rsid w:val="000C2B07"/>
    <w:rsid w:val="000C30E9"/>
    <w:rsid w:val="000C3451"/>
    <w:rsid w:val="000C3495"/>
    <w:rsid w:val="000C3678"/>
    <w:rsid w:val="000C398A"/>
    <w:rsid w:val="000C39CC"/>
    <w:rsid w:val="000C3C0D"/>
    <w:rsid w:val="000C429F"/>
    <w:rsid w:val="000C4AB2"/>
    <w:rsid w:val="000C55C3"/>
    <w:rsid w:val="000C585C"/>
    <w:rsid w:val="000C6073"/>
    <w:rsid w:val="000C631F"/>
    <w:rsid w:val="000C6499"/>
    <w:rsid w:val="000C64D6"/>
    <w:rsid w:val="000C64F5"/>
    <w:rsid w:val="000C6B54"/>
    <w:rsid w:val="000C6EE2"/>
    <w:rsid w:val="000C6F3D"/>
    <w:rsid w:val="000C7225"/>
    <w:rsid w:val="000C7566"/>
    <w:rsid w:val="000C775B"/>
    <w:rsid w:val="000C78EA"/>
    <w:rsid w:val="000C7B2B"/>
    <w:rsid w:val="000C7C8D"/>
    <w:rsid w:val="000D07B1"/>
    <w:rsid w:val="000D09F6"/>
    <w:rsid w:val="000D0A95"/>
    <w:rsid w:val="000D0D34"/>
    <w:rsid w:val="000D0E71"/>
    <w:rsid w:val="000D0F6C"/>
    <w:rsid w:val="000D13D3"/>
    <w:rsid w:val="000D188E"/>
    <w:rsid w:val="000D1F16"/>
    <w:rsid w:val="000D2040"/>
    <w:rsid w:val="000D22D5"/>
    <w:rsid w:val="000D2601"/>
    <w:rsid w:val="000D2954"/>
    <w:rsid w:val="000D29E9"/>
    <w:rsid w:val="000D2A9F"/>
    <w:rsid w:val="000D302A"/>
    <w:rsid w:val="000D3959"/>
    <w:rsid w:val="000D3BAB"/>
    <w:rsid w:val="000D3E76"/>
    <w:rsid w:val="000D4327"/>
    <w:rsid w:val="000D47A6"/>
    <w:rsid w:val="000D48B4"/>
    <w:rsid w:val="000D4B4D"/>
    <w:rsid w:val="000D4D73"/>
    <w:rsid w:val="000D4F72"/>
    <w:rsid w:val="000D5178"/>
    <w:rsid w:val="000D5335"/>
    <w:rsid w:val="000D67E8"/>
    <w:rsid w:val="000D707C"/>
    <w:rsid w:val="000D70E5"/>
    <w:rsid w:val="000D713E"/>
    <w:rsid w:val="000D7B14"/>
    <w:rsid w:val="000D7C4A"/>
    <w:rsid w:val="000D7CB3"/>
    <w:rsid w:val="000E0F69"/>
    <w:rsid w:val="000E1030"/>
    <w:rsid w:val="000E167E"/>
    <w:rsid w:val="000E1981"/>
    <w:rsid w:val="000E1A1D"/>
    <w:rsid w:val="000E2297"/>
    <w:rsid w:val="000E283B"/>
    <w:rsid w:val="000E287F"/>
    <w:rsid w:val="000E2E81"/>
    <w:rsid w:val="000E2E9B"/>
    <w:rsid w:val="000E2F4C"/>
    <w:rsid w:val="000E361E"/>
    <w:rsid w:val="000E3C4F"/>
    <w:rsid w:val="000E3EF5"/>
    <w:rsid w:val="000E472F"/>
    <w:rsid w:val="000E4927"/>
    <w:rsid w:val="000E495B"/>
    <w:rsid w:val="000E4E1D"/>
    <w:rsid w:val="000E4F75"/>
    <w:rsid w:val="000E5894"/>
    <w:rsid w:val="000E5BB3"/>
    <w:rsid w:val="000E600D"/>
    <w:rsid w:val="000E6060"/>
    <w:rsid w:val="000E6102"/>
    <w:rsid w:val="000E6404"/>
    <w:rsid w:val="000E64FF"/>
    <w:rsid w:val="000E6630"/>
    <w:rsid w:val="000E6AE1"/>
    <w:rsid w:val="000E76BF"/>
    <w:rsid w:val="000E79F9"/>
    <w:rsid w:val="000E7B86"/>
    <w:rsid w:val="000E7C62"/>
    <w:rsid w:val="000E7EE8"/>
    <w:rsid w:val="000F000D"/>
    <w:rsid w:val="000F04AF"/>
    <w:rsid w:val="000F0DD0"/>
    <w:rsid w:val="000F0E7E"/>
    <w:rsid w:val="000F1931"/>
    <w:rsid w:val="000F1E67"/>
    <w:rsid w:val="000F23E5"/>
    <w:rsid w:val="000F2A2A"/>
    <w:rsid w:val="000F2B17"/>
    <w:rsid w:val="000F2B66"/>
    <w:rsid w:val="000F3371"/>
    <w:rsid w:val="000F3452"/>
    <w:rsid w:val="000F3478"/>
    <w:rsid w:val="000F3D83"/>
    <w:rsid w:val="000F442E"/>
    <w:rsid w:val="000F465E"/>
    <w:rsid w:val="000F49BE"/>
    <w:rsid w:val="000F4BCF"/>
    <w:rsid w:val="000F5424"/>
    <w:rsid w:val="000F58DA"/>
    <w:rsid w:val="000F5C5C"/>
    <w:rsid w:val="000F5EFF"/>
    <w:rsid w:val="000F6922"/>
    <w:rsid w:val="000F69EE"/>
    <w:rsid w:val="000F6BF1"/>
    <w:rsid w:val="000F7088"/>
    <w:rsid w:val="000F73EA"/>
    <w:rsid w:val="00100119"/>
    <w:rsid w:val="0010013F"/>
    <w:rsid w:val="00100476"/>
    <w:rsid w:val="00100A4A"/>
    <w:rsid w:val="00100E07"/>
    <w:rsid w:val="00100F12"/>
    <w:rsid w:val="00101B81"/>
    <w:rsid w:val="00101E1C"/>
    <w:rsid w:val="00102392"/>
    <w:rsid w:val="00102F39"/>
    <w:rsid w:val="00103489"/>
    <w:rsid w:val="00103589"/>
    <w:rsid w:val="0010370B"/>
    <w:rsid w:val="00103B8A"/>
    <w:rsid w:val="001045C9"/>
    <w:rsid w:val="00104FD5"/>
    <w:rsid w:val="001058CE"/>
    <w:rsid w:val="00105CF0"/>
    <w:rsid w:val="00105D2E"/>
    <w:rsid w:val="00105DA1"/>
    <w:rsid w:val="00106B98"/>
    <w:rsid w:val="00106FDC"/>
    <w:rsid w:val="00107585"/>
    <w:rsid w:val="001075C1"/>
    <w:rsid w:val="00107863"/>
    <w:rsid w:val="00107B90"/>
    <w:rsid w:val="00107CC1"/>
    <w:rsid w:val="00107CC7"/>
    <w:rsid w:val="00107F61"/>
    <w:rsid w:val="0011009E"/>
    <w:rsid w:val="00110483"/>
    <w:rsid w:val="00110545"/>
    <w:rsid w:val="00110AC5"/>
    <w:rsid w:val="001111E9"/>
    <w:rsid w:val="0011163B"/>
    <w:rsid w:val="00111A92"/>
    <w:rsid w:val="00111D80"/>
    <w:rsid w:val="00111FC7"/>
    <w:rsid w:val="001122DF"/>
    <w:rsid w:val="00112AAA"/>
    <w:rsid w:val="00112BEB"/>
    <w:rsid w:val="001131A9"/>
    <w:rsid w:val="00113466"/>
    <w:rsid w:val="00113A5C"/>
    <w:rsid w:val="00113FC9"/>
    <w:rsid w:val="00114412"/>
    <w:rsid w:val="001145C3"/>
    <w:rsid w:val="00114751"/>
    <w:rsid w:val="00114978"/>
    <w:rsid w:val="00115624"/>
    <w:rsid w:val="001158AB"/>
    <w:rsid w:val="001159E2"/>
    <w:rsid w:val="00115E06"/>
    <w:rsid w:val="00116150"/>
    <w:rsid w:val="001161D2"/>
    <w:rsid w:val="00117573"/>
    <w:rsid w:val="001176AA"/>
    <w:rsid w:val="0011788E"/>
    <w:rsid w:val="00117E2F"/>
    <w:rsid w:val="00120085"/>
    <w:rsid w:val="001207A4"/>
    <w:rsid w:val="00120A8B"/>
    <w:rsid w:val="00120C02"/>
    <w:rsid w:val="00120C91"/>
    <w:rsid w:val="00120CBD"/>
    <w:rsid w:val="00120D31"/>
    <w:rsid w:val="001212CD"/>
    <w:rsid w:val="001215DC"/>
    <w:rsid w:val="00121E13"/>
    <w:rsid w:val="00122828"/>
    <w:rsid w:val="0012354F"/>
    <w:rsid w:val="00123574"/>
    <w:rsid w:val="001237FE"/>
    <w:rsid w:val="00123FC5"/>
    <w:rsid w:val="001246C8"/>
    <w:rsid w:val="00124AFE"/>
    <w:rsid w:val="00124B38"/>
    <w:rsid w:val="00124E7F"/>
    <w:rsid w:val="00125013"/>
    <w:rsid w:val="00125497"/>
    <w:rsid w:val="001255CD"/>
    <w:rsid w:val="00125FD4"/>
    <w:rsid w:val="00126284"/>
    <w:rsid w:val="00126702"/>
    <w:rsid w:val="001267D2"/>
    <w:rsid w:val="00126818"/>
    <w:rsid w:val="00126917"/>
    <w:rsid w:val="00126E34"/>
    <w:rsid w:val="00127D8C"/>
    <w:rsid w:val="00127FFD"/>
    <w:rsid w:val="001300A7"/>
    <w:rsid w:val="0013026C"/>
    <w:rsid w:val="00130480"/>
    <w:rsid w:val="001304F7"/>
    <w:rsid w:val="00130686"/>
    <w:rsid w:val="0013092A"/>
    <w:rsid w:val="00130F3E"/>
    <w:rsid w:val="0013107B"/>
    <w:rsid w:val="001310C0"/>
    <w:rsid w:val="00131899"/>
    <w:rsid w:val="00131DF1"/>
    <w:rsid w:val="001328E4"/>
    <w:rsid w:val="00132C38"/>
    <w:rsid w:val="00132DC3"/>
    <w:rsid w:val="00132DCA"/>
    <w:rsid w:val="001330B7"/>
    <w:rsid w:val="00133984"/>
    <w:rsid w:val="00133A1E"/>
    <w:rsid w:val="00133BB9"/>
    <w:rsid w:val="00135050"/>
    <w:rsid w:val="001359C4"/>
    <w:rsid w:val="00135B2C"/>
    <w:rsid w:val="00135DF2"/>
    <w:rsid w:val="0013633B"/>
    <w:rsid w:val="00136350"/>
    <w:rsid w:val="001365C4"/>
    <w:rsid w:val="00136768"/>
    <w:rsid w:val="00136C3B"/>
    <w:rsid w:val="001370C3"/>
    <w:rsid w:val="0013728E"/>
    <w:rsid w:val="00137666"/>
    <w:rsid w:val="00137870"/>
    <w:rsid w:val="001405F7"/>
    <w:rsid w:val="00140739"/>
    <w:rsid w:val="0014080D"/>
    <w:rsid w:val="00140EFC"/>
    <w:rsid w:val="00141052"/>
    <w:rsid w:val="0014147D"/>
    <w:rsid w:val="00141689"/>
    <w:rsid w:val="00141A82"/>
    <w:rsid w:val="00141C69"/>
    <w:rsid w:val="00141D29"/>
    <w:rsid w:val="00141D4A"/>
    <w:rsid w:val="00142181"/>
    <w:rsid w:val="001428A3"/>
    <w:rsid w:val="00143390"/>
    <w:rsid w:val="00143E85"/>
    <w:rsid w:val="0014471F"/>
    <w:rsid w:val="00144D15"/>
    <w:rsid w:val="00144DF9"/>
    <w:rsid w:val="0014506A"/>
    <w:rsid w:val="001458C3"/>
    <w:rsid w:val="00145A9D"/>
    <w:rsid w:val="001460F6"/>
    <w:rsid w:val="00146151"/>
    <w:rsid w:val="00146342"/>
    <w:rsid w:val="00146343"/>
    <w:rsid w:val="00146881"/>
    <w:rsid w:val="0014728F"/>
    <w:rsid w:val="00147EE0"/>
    <w:rsid w:val="00150983"/>
    <w:rsid w:val="00150B10"/>
    <w:rsid w:val="00151194"/>
    <w:rsid w:val="00151243"/>
    <w:rsid w:val="001521A2"/>
    <w:rsid w:val="00152358"/>
    <w:rsid w:val="00153382"/>
    <w:rsid w:val="00153539"/>
    <w:rsid w:val="00153678"/>
    <w:rsid w:val="0015367A"/>
    <w:rsid w:val="00153708"/>
    <w:rsid w:val="001537AF"/>
    <w:rsid w:val="0015461F"/>
    <w:rsid w:val="00154A81"/>
    <w:rsid w:val="0015558D"/>
    <w:rsid w:val="001556A3"/>
    <w:rsid w:val="00155BFF"/>
    <w:rsid w:val="001571B5"/>
    <w:rsid w:val="00157A5B"/>
    <w:rsid w:val="00157C59"/>
    <w:rsid w:val="00157CF0"/>
    <w:rsid w:val="001600BF"/>
    <w:rsid w:val="00160123"/>
    <w:rsid w:val="001602E6"/>
    <w:rsid w:val="00160327"/>
    <w:rsid w:val="00160AEA"/>
    <w:rsid w:val="00160B7A"/>
    <w:rsid w:val="00160F66"/>
    <w:rsid w:val="00161184"/>
    <w:rsid w:val="001611BD"/>
    <w:rsid w:val="00161B4F"/>
    <w:rsid w:val="00161E7D"/>
    <w:rsid w:val="0016213F"/>
    <w:rsid w:val="001622C0"/>
    <w:rsid w:val="00162587"/>
    <w:rsid w:val="001633AF"/>
    <w:rsid w:val="00163D75"/>
    <w:rsid w:val="00164155"/>
    <w:rsid w:val="001648C8"/>
    <w:rsid w:val="00164B0F"/>
    <w:rsid w:val="001654A0"/>
    <w:rsid w:val="001655D4"/>
    <w:rsid w:val="00165691"/>
    <w:rsid w:val="00165FD7"/>
    <w:rsid w:val="001668AB"/>
    <w:rsid w:val="00166A6C"/>
    <w:rsid w:val="00167371"/>
    <w:rsid w:val="00167A64"/>
    <w:rsid w:val="00167B41"/>
    <w:rsid w:val="001708D2"/>
    <w:rsid w:val="00171448"/>
    <w:rsid w:val="0017161E"/>
    <w:rsid w:val="00171A4E"/>
    <w:rsid w:val="00171B1C"/>
    <w:rsid w:val="001720EB"/>
    <w:rsid w:val="001729F2"/>
    <w:rsid w:val="00172E5B"/>
    <w:rsid w:val="001732F3"/>
    <w:rsid w:val="00173EDD"/>
    <w:rsid w:val="0017402B"/>
    <w:rsid w:val="001744B3"/>
    <w:rsid w:val="0017459B"/>
    <w:rsid w:val="00174606"/>
    <w:rsid w:val="00174909"/>
    <w:rsid w:val="00174933"/>
    <w:rsid w:val="00174E4E"/>
    <w:rsid w:val="00175A69"/>
    <w:rsid w:val="00175DF0"/>
    <w:rsid w:val="00175E9A"/>
    <w:rsid w:val="001761C3"/>
    <w:rsid w:val="0017645F"/>
    <w:rsid w:val="00176B06"/>
    <w:rsid w:val="00177149"/>
    <w:rsid w:val="0017760B"/>
    <w:rsid w:val="00177EC9"/>
    <w:rsid w:val="00177FFA"/>
    <w:rsid w:val="0018077E"/>
    <w:rsid w:val="00180C53"/>
    <w:rsid w:val="00180D21"/>
    <w:rsid w:val="0018107F"/>
    <w:rsid w:val="0018128E"/>
    <w:rsid w:val="00181AB5"/>
    <w:rsid w:val="00181D37"/>
    <w:rsid w:val="00181DA3"/>
    <w:rsid w:val="00181E9C"/>
    <w:rsid w:val="001829FB"/>
    <w:rsid w:val="00182DB2"/>
    <w:rsid w:val="00183412"/>
    <w:rsid w:val="001835B7"/>
    <w:rsid w:val="001838DC"/>
    <w:rsid w:val="001841D5"/>
    <w:rsid w:val="0018426B"/>
    <w:rsid w:val="0018440D"/>
    <w:rsid w:val="001847DE"/>
    <w:rsid w:val="00184DB2"/>
    <w:rsid w:val="00184F43"/>
    <w:rsid w:val="00185192"/>
    <w:rsid w:val="00185445"/>
    <w:rsid w:val="00185A37"/>
    <w:rsid w:val="001863D2"/>
    <w:rsid w:val="00186777"/>
    <w:rsid w:val="001868A4"/>
    <w:rsid w:val="00187E05"/>
    <w:rsid w:val="00190007"/>
    <w:rsid w:val="001908B4"/>
    <w:rsid w:val="00190C2F"/>
    <w:rsid w:val="001915D6"/>
    <w:rsid w:val="00191B74"/>
    <w:rsid w:val="00191C78"/>
    <w:rsid w:val="00191DD7"/>
    <w:rsid w:val="001923A8"/>
    <w:rsid w:val="00192BFC"/>
    <w:rsid w:val="0019331F"/>
    <w:rsid w:val="001933A0"/>
    <w:rsid w:val="00193748"/>
    <w:rsid w:val="001937E5"/>
    <w:rsid w:val="00194309"/>
    <w:rsid w:val="00194D8A"/>
    <w:rsid w:val="00194E92"/>
    <w:rsid w:val="00195084"/>
    <w:rsid w:val="001952B5"/>
    <w:rsid w:val="00195455"/>
    <w:rsid w:val="0019628D"/>
    <w:rsid w:val="001964B5"/>
    <w:rsid w:val="0019660E"/>
    <w:rsid w:val="00196953"/>
    <w:rsid w:val="00196F5E"/>
    <w:rsid w:val="00197172"/>
    <w:rsid w:val="001973E0"/>
    <w:rsid w:val="0019759C"/>
    <w:rsid w:val="00197A23"/>
    <w:rsid w:val="00197CF6"/>
    <w:rsid w:val="001A0239"/>
    <w:rsid w:val="001A0E4A"/>
    <w:rsid w:val="001A0E67"/>
    <w:rsid w:val="001A112F"/>
    <w:rsid w:val="001A1799"/>
    <w:rsid w:val="001A197F"/>
    <w:rsid w:val="001A1E32"/>
    <w:rsid w:val="001A3578"/>
    <w:rsid w:val="001A37B3"/>
    <w:rsid w:val="001A3864"/>
    <w:rsid w:val="001A426D"/>
    <w:rsid w:val="001A428F"/>
    <w:rsid w:val="001A45C2"/>
    <w:rsid w:val="001A4A78"/>
    <w:rsid w:val="001A4B1E"/>
    <w:rsid w:val="001A517A"/>
    <w:rsid w:val="001A52F1"/>
    <w:rsid w:val="001A5FF0"/>
    <w:rsid w:val="001A6511"/>
    <w:rsid w:val="001A6D61"/>
    <w:rsid w:val="001A74B1"/>
    <w:rsid w:val="001A756A"/>
    <w:rsid w:val="001B0417"/>
    <w:rsid w:val="001B0451"/>
    <w:rsid w:val="001B0597"/>
    <w:rsid w:val="001B06A2"/>
    <w:rsid w:val="001B06DE"/>
    <w:rsid w:val="001B0A10"/>
    <w:rsid w:val="001B0DFE"/>
    <w:rsid w:val="001B13ED"/>
    <w:rsid w:val="001B1D89"/>
    <w:rsid w:val="001B2055"/>
    <w:rsid w:val="001B21FC"/>
    <w:rsid w:val="001B3046"/>
    <w:rsid w:val="001B30BC"/>
    <w:rsid w:val="001B3470"/>
    <w:rsid w:val="001B3685"/>
    <w:rsid w:val="001B39E2"/>
    <w:rsid w:val="001B39F8"/>
    <w:rsid w:val="001B3BE5"/>
    <w:rsid w:val="001B4089"/>
    <w:rsid w:val="001B47E5"/>
    <w:rsid w:val="001B4C48"/>
    <w:rsid w:val="001B5078"/>
    <w:rsid w:val="001B5891"/>
    <w:rsid w:val="001B5B58"/>
    <w:rsid w:val="001B5CBC"/>
    <w:rsid w:val="001B6455"/>
    <w:rsid w:val="001B64AB"/>
    <w:rsid w:val="001B673D"/>
    <w:rsid w:val="001B6A84"/>
    <w:rsid w:val="001B712E"/>
    <w:rsid w:val="001B7412"/>
    <w:rsid w:val="001B7DB1"/>
    <w:rsid w:val="001B7DFF"/>
    <w:rsid w:val="001C0E1D"/>
    <w:rsid w:val="001C102A"/>
    <w:rsid w:val="001C1062"/>
    <w:rsid w:val="001C147F"/>
    <w:rsid w:val="001C16A2"/>
    <w:rsid w:val="001C1B78"/>
    <w:rsid w:val="001C1D99"/>
    <w:rsid w:val="001C24DD"/>
    <w:rsid w:val="001C2B26"/>
    <w:rsid w:val="001C2C55"/>
    <w:rsid w:val="001C2DF7"/>
    <w:rsid w:val="001C3096"/>
    <w:rsid w:val="001C3129"/>
    <w:rsid w:val="001C34A7"/>
    <w:rsid w:val="001C3A2B"/>
    <w:rsid w:val="001C3A32"/>
    <w:rsid w:val="001C3AD6"/>
    <w:rsid w:val="001C3C5A"/>
    <w:rsid w:val="001C40FA"/>
    <w:rsid w:val="001C4B6F"/>
    <w:rsid w:val="001C4B7F"/>
    <w:rsid w:val="001C628B"/>
    <w:rsid w:val="001C6484"/>
    <w:rsid w:val="001C661A"/>
    <w:rsid w:val="001C681C"/>
    <w:rsid w:val="001C72D5"/>
    <w:rsid w:val="001C750E"/>
    <w:rsid w:val="001C79DC"/>
    <w:rsid w:val="001C7B9F"/>
    <w:rsid w:val="001C7C66"/>
    <w:rsid w:val="001C7EAA"/>
    <w:rsid w:val="001D02D9"/>
    <w:rsid w:val="001D02F9"/>
    <w:rsid w:val="001D068E"/>
    <w:rsid w:val="001D0B9B"/>
    <w:rsid w:val="001D0F67"/>
    <w:rsid w:val="001D1165"/>
    <w:rsid w:val="001D11FE"/>
    <w:rsid w:val="001D2BCA"/>
    <w:rsid w:val="001D2FFC"/>
    <w:rsid w:val="001D3D28"/>
    <w:rsid w:val="001D3E8D"/>
    <w:rsid w:val="001D4BF2"/>
    <w:rsid w:val="001D4F09"/>
    <w:rsid w:val="001D5B7A"/>
    <w:rsid w:val="001D5C1B"/>
    <w:rsid w:val="001D5EBE"/>
    <w:rsid w:val="001D68AA"/>
    <w:rsid w:val="001D6968"/>
    <w:rsid w:val="001E06D8"/>
    <w:rsid w:val="001E0E24"/>
    <w:rsid w:val="001E0F99"/>
    <w:rsid w:val="001E108E"/>
    <w:rsid w:val="001E115A"/>
    <w:rsid w:val="001E1411"/>
    <w:rsid w:val="001E17CB"/>
    <w:rsid w:val="001E18FB"/>
    <w:rsid w:val="001E1B94"/>
    <w:rsid w:val="001E1CE2"/>
    <w:rsid w:val="001E1D08"/>
    <w:rsid w:val="001E1D5C"/>
    <w:rsid w:val="001E2871"/>
    <w:rsid w:val="001E2A02"/>
    <w:rsid w:val="001E3D82"/>
    <w:rsid w:val="001E3F9B"/>
    <w:rsid w:val="001E4B93"/>
    <w:rsid w:val="001E4F02"/>
    <w:rsid w:val="001E55DC"/>
    <w:rsid w:val="001E5D69"/>
    <w:rsid w:val="001E6108"/>
    <w:rsid w:val="001E6672"/>
    <w:rsid w:val="001E6741"/>
    <w:rsid w:val="001E6F0C"/>
    <w:rsid w:val="001E7063"/>
    <w:rsid w:val="001E7189"/>
    <w:rsid w:val="001E77FC"/>
    <w:rsid w:val="001E7AE7"/>
    <w:rsid w:val="001E7C86"/>
    <w:rsid w:val="001F0092"/>
    <w:rsid w:val="001F022D"/>
    <w:rsid w:val="001F02EF"/>
    <w:rsid w:val="001F09F1"/>
    <w:rsid w:val="001F0C73"/>
    <w:rsid w:val="001F0D85"/>
    <w:rsid w:val="001F118D"/>
    <w:rsid w:val="001F1482"/>
    <w:rsid w:val="001F1B25"/>
    <w:rsid w:val="001F1E20"/>
    <w:rsid w:val="001F1E22"/>
    <w:rsid w:val="001F20D7"/>
    <w:rsid w:val="001F2304"/>
    <w:rsid w:val="001F2418"/>
    <w:rsid w:val="001F26C6"/>
    <w:rsid w:val="001F2A05"/>
    <w:rsid w:val="001F3165"/>
    <w:rsid w:val="001F323F"/>
    <w:rsid w:val="001F325D"/>
    <w:rsid w:val="001F3851"/>
    <w:rsid w:val="001F3B76"/>
    <w:rsid w:val="001F4548"/>
    <w:rsid w:val="001F4865"/>
    <w:rsid w:val="001F52CA"/>
    <w:rsid w:val="001F534D"/>
    <w:rsid w:val="001F55DC"/>
    <w:rsid w:val="001F59E1"/>
    <w:rsid w:val="001F6503"/>
    <w:rsid w:val="001F69EA"/>
    <w:rsid w:val="001F6AA3"/>
    <w:rsid w:val="001F7056"/>
    <w:rsid w:val="001F709B"/>
    <w:rsid w:val="001F75FD"/>
    <w:rsid w:val="001F7744"/>
    <w:rsid w:val="001F7D17"/>
    <w:rsid w:val="002001CE"/>
    <w:rsid w:val="00200324"/>
    <w:rsid w:val="0020097B"/>
    <w:rsid w:val="00201178"/>
    <w:rsid w:val="002014EB"/>
    <w:rsid w:val="00201729"/>
    <w:rsid w:val="0020183F"/>
    <w:rsid w:val="0020222C"/>
    <w:rsid w:val="00202A0B"/>
    <w:rsid w:val="00202B1A"/>
    <w:rsid w:val="002030F4"/>
    <w:rsid w:val="0020383A"/>
    <w:rsid w:val="002041EE"/>
    <w:rsid w:val="00204745"/>
    <w:rsid w:val="00204979"/>
    <w:rsid w:val="00204DEB"/>
    <w:rsid w:val="00205AC9"/>
    <w:rsid w:val="0020636F"/>
    <w:rsid w:val="00206D3B"/>
    <w:rsid w:val="0020716D"/>
    <w:rsid w:val="00207942"/>
    <w:rsid w:val="002079CB"/>
    <w:rsid w:val="00207D58"/>
    <w:rsid w:val="00211452"/>
    <w:rsid w:val="002118CC"/>
    <w:rsid w:val="00211905"/>
    <w:rsid w:val="00211C61"/>
    <w:rsid w:val="00211D69"/>
    <w:rsid w:val="00211EE5"/>
    <w:rsid w:val="002129DF"/>
    <w:rsid w:val="00212B59"/>
    <w:rsid w:val="00212CCD"/>
    <w:rsid w:val="00212E0E"/>
    <w:rsid w:val="002138B1"/>
    <w:rsid w:val="00213B95"/>
    <w:rsid w:val="00213C27"/>
    <w:rsid w:val="00213E98"/>
    <w:rsid w:val="00213FE7"/>
    <w:rsid w:val="0021409C"/>
    <w:rsid w:val="00214F6C"/>
    <w:rsid w:val="0021545A"/>
    <w:rsid w:val="002154BD"/>
    <w:rsid w:val="00215553"/>
    <w:rsid w:val="0021572B"/>
    <w:rsid w:val="0021587E"/>
    <w:rsid w:val="00216C70"/>
    <w:rsid w:val="0021726F"/>
    <w:rsid w:val="002176E2"/>
    <w:rsid w:val="002179DB"/>
    <w:rsid w:val="00217C03"/>
    <w:rsid w:val="0022040C"/>
    <w:rsid w:val="00220DAF"/>
    <w:rsid w:val="00220F9D"/>
    <w:rsid w:val="00221630"/>
    <w:rsid w:val="002217E1"/>
    <w:rsid w:val="00221A4F"/>
    <w:rsid w:val="00221CCA"/>
    <w:rsid w:val="002228E8"/>
    <w:rsid w:val="00222AE6"/>
    <w:rsid w:val="00223A71"/>
    <w:rsid w:val="00224A7E"/>
    <w:rsid w:val="00224E50"/>
    <w:rsid w:val="00225058"/>
    <w:rsid w:val="00225B2C"/>
    <w:rsid w:val="002261A0"/>
    <w:rsid w:val="002263B7"/>
    <w:rsid w:val="00226540"/>
    <w:rsid w:val="00226C3E"/>
    <w:rsid w:val="002270BD"/>
    <w:rsid w:val="00227161"/>
    <w:rsid w:val="002273FB"/>
    <w:rsid w:val="00227A03"/>
    <w:rsid w:val="00227A1D"/>
    <w:rsid w:val="00227E48"/>
    <w:rsid w:val="00230577"/>
    <w:rsid w:val="002305E0"/>
    <w:rsid w:val="00230A7F"/>
    <w:rsid w:val="00230B18"/>
    <w:rsid w:val="00231437"/>
    <w:rsid w:val="002317FE"/>
    <w:rsid w:val="0023209D"/>
    <w:rsid w:val="002322B4"/>
    <w:rsid w:val="00232338"/>
    <w:rsid w:val="002323EF"/>
    <w:rsid w:val="002333F8"/>
    <w:rsid w:val="0023383B"/>
    <w:rsid w:val="002338F8"/>
    <w:rsid w:val="00233A58"/>
    <w:rsid w:val="00233BB6"/>
    <w:rsid w:val="00233D79"/>
    <w:rsid w:val="0023439D"/>
    <w:rsid w:val="00234D86"/>
    <w:rsid w:val="00235152"/>
    <w:rsid w:val="002355BC"/>
    <w:rsid w:val="0023568C"/>
    <w:rsid w:val="002357BE"/>
    <w:rsid w:val="00236415"/>
    <w:rsid w:val="00236ADF"/>
    <w:rsid w:val="00236CD6"/>
    <w:rsid w:val="0023744B"/>
    <w:rsid w:val="0023751E"/>
    <w:rsid w:val="00237657"/>
    <w:rsid w:val="0024059F"/>
    <w:rsid w:val="00240670"/>
    <w:rsid w:val="0024068F"/>
    <w:rsid w:val="002406E1"/>
    <w:rsid w:val="00242177"/>
    <w:rsid w:val="00242257"/>
    <w:rsid w:val="00242651"/>
    <w:rsid w:val="002428AA"/>
    <w:rsid w:val="00242981"/>
    <w:rsid w:val="00242985"/>
    <w:rsid w:val="00242BA7"/>
    <w:rsid w:val="002433A2"/>
    <w:rsid w:val="002435FA"/>
    <w:rsid w:val="0024377D"/>
    <w:rsid w:val="002437B5"/>
    <w:rsid w:val="002437BD"/>
    <w:rsid w:val="00243BFA"/>
    <w:rsid w:val="00244532"/>
    <w:rsid w:val="002448C1"/>
    <w:rsid w:val="00244BB0"/>
    <w:rsid w:val="00244EF1"/>
    <w:rsid w:val="00245167"/>
    <w:rsid w:val="0024516C"/>
    <w:rsid w:val="002453C8"/>
    <w:rsid w:val="00245725"/>
    <w:rsid w:val="002457D9"/>
    <w:rsid w:val="002458C5"/>
    <w:rsid w:val="00246173"/>
    <w:rsid w:val="002461EC"/>
    <w:rsid w:val="0024658E"/>
    <w:rsid w:val="00246600"/>
    <w:rsid w:val="00246F21"/>
    <w:rsid w:val="002473F8"/>
    <w:rsid w:val="00247777"/>
    <w:rsid w:val="00247C07"/>
    <w:rsid w:val="0025028C"/>
    <w:rsid w:val="002502E8"/>
    <w:rsid w:val="002506A1"/>
    <w:rsid w:val="00250C74"/>
    <w:rsid w:val="00250E5B"/>
    <w:rsid w:val="00251342"/>
    <w:rsid w:val="002516BD"/>
    <w:rsid w:val="00251C95"/>
    <w:rsid w:val="00251EB4"/>
    <w:rsid w:val="002529B1"/>
    <w:rsid w:val="00252B24"/>
    <w:rsid w:val="00252B96"/>
    <w:rsid w:val="00252EB2"/>
    <w:rsid w:val="00252FC1"/>
    <w:rsid w:val="0025369E"/>
    <w:rsid w:val="0025381A"/>
    <w:rsid w:val="0025383C"/>
    <w:rsid w:val="00253E78"/>
    <w:rsid w:val="00254123"/>
    <w:rsid w:val="00254522"/>
    <w:rsid w:val="00254ACE"/>
    <w:rsid w:val="00254E1C"/>
    <w:rsid w:val="00255305"/>
    <w:rsid w:val="00255797"/>
    <w:rsid w:val="002561A0"/>
    <w:rsid w:val="0025620F"/>
    <w:rsid w:val="0025639B"/>
    <w:rsid w:val="002563C9"/>
    <w:rsid w:val="00256690"/>
    <w:rsid w:val="00256A0F"/>
    <w:rsid w:val="00257714"/>
    <w:rsid w:val="00257743"/>
    <w:rsid w:val="002577D1"/>
    <w:rsid w:val="00257CB2"/>
    <w:rsid w:val="00257FE1"/>
    <w:rsid w:val="00260A0C"/>
    <w:rsid w:val="00260A5D"/>
    <w:rsid w:val="00260B2B"/>
    <w:rsid w:val="00260E80"/>
    <w:rsid w:val="002610BB"/>
    <w:rsid w:val="0026160E"/>
    <w:rsid w:val="0026192B"/>
    <w:rsid w:val="00261D0D"/>
    <w:rsid w:val="00262A6F"/>
    <w:rsid w:val="00262B16"/>
    <w:rsid w:val="00262C3C"/>
    <w:rsid w:val="00262F79"/>
    <w:rsid w:val="00263CC9"/>
    <w:rsid w:val="0026400E"/>
    <w:rsid w:val="0026465D"/>
    <w:rsid w:val="00264C88"/>
    <w:rsid w:val="00264DF2"/>
    <w:rsid w:val="0026532C"/>
    <w:rsid w:val="0026539B"/>
    <w:rsid w:val="0026575D"/>
    <w:rsid w:val="00265E74"/>
    <w:rsid w:val="00265FD0"/>
    <w:rsid w:val="00266201"/>
    <w:rsid w:val="00266312"/>
    <w:rsid w:val="002665CC"/>
    <w:rsid w:val="00266753"/>
    <w:rsid w:val="002667F5"/>
    <w:rsid w:val="0026682B"/>
    <w:rsid w:val="00266EA5"/>
    <w:rsid w:val="00267229"/>
    <w:rsid w:val="002705B0"/>
    <w:rsid w:val="002712B3"/>
    <w:rsid w:val="002717A6"/>
    <w:rsid w:val="00271B05"/>
    <w:rsid w:val="00272015"/>
    <w:rsid w:val="00272540"/>
    <w:rsid w:val="00272621"/>
    <w:rsid w:val="00272DD8"/>
    <w:rsid w:val="002734C6"/>
    <w:rsid w:val="002736A0"/>
    <w:rsid w:val="00273B97"/>
    <w:rsid w:val="00273C10"/>
    <w:rsid w:val="002741D4"/>
    <w:rsid w:val="002747C7"/>
    <w:rsid w:val="0027487F"/>
    <w:rsid w:val="00274B4C"/>
    <w:rsid w:val="00274D80"/>
    <w:rsid w:val="00275596"/>
    <w:rsid w:val="0027559A"/>
    <w:rsid w:val="00275E4F"/>
    <w:rsid w:val="00276264"/>
    <w:rsid w:val="002771FD"/>
    <w:rsid w:val="0027722B"/>
    <w:rsid w:val="00277631"/>
    <w:rsid w:val="00277A3C"/>
    <w:rsid w:val="002803B0"/>
    <w:rsid w:val="00280EF7"/>
    <w:rsid w:val="00281ABD"/>
    <w:rsid w:val="00281DCA"/>
    <w:rsid w:val="00282906"/>
    <w:rsid w:val="00282E52"/>
    <w:rsid w:val="0028329B"/>
    <w:rsid w:val="00283B5C"/>
    <w:rsid w:val="00283C28"/>
    <w:rsid w:val="0028444E"/>
    <w:rsid w:val="002846A5"/>
    <w:rsid w:val="002848E5"/>
    <w:rsid w:val="00284993"/>
    <w:rsid w:val="00284A2C"/>
    <w:rsid w:val="00284C02"/>
    <w:rsid w:val="00284DA7"/>
    <w:rsid w:val="00284F9A"/>
    <w:rsid w:val="00285041"/>
    <w:rsid w:val="00285220"/>
    <w:rsid w:val="0028543E"/>
    <w:rsid w:val="00285655"/>
    <w:rsid w:val="00285678"/>
    <w:rsid w:val="002857BD"/>
    <w:rsid w:val="0028594B"/>
    <w:rsid w:val="00285985"/>
    <w:rsid w:val="00285D4F"/>
    <w:rsid w:val="002861F3"/>
    <w:rsid w:val="002865F0"/>
    <w:rsid w:val="002871DD"/>
    <w:rsid w:val="0028725F"/>
    <w:rsid w:val="00287D7E"/>
    <w:rsid w:val="00287EF9"/>
    <w:rsid w:val="0029006F"/>
    <w:rsid w:val="002903FF"/>
    <w:rsid w:val="00290593"/>
    <w:rsid w:val="0029063C"/>
    <w:rsid w:val="002908F2"/>
    <w:rsid w:val="00290902"/>
    <w:rsid w:val="00290B83"/>
    <w:rsid w:val="00290F34"/>
    <w:rsid w:val="002914C9"/>
    <w:rsid w:val="00292455"/>
    <w:rsid w:val="0029248A"/>
    <w:rsid w:val="002924F3"/>
    <w:rsid w:val="00292C08"/>
    <w:rsid w:val="00292C5A"/>
    <w:rsid w:val="00292D96"/>
    <w:rsid w:val="00293378"/>
    <w:rsid w:val="00294079"/>
    <w:rsid w:val="0029475E"/>
    <w:rsid w:val="00294D00"/>
    <w:rsid w:val="0029555E"/>
    <w:rsid w:val="002960D0"/>
    <w:rsid w:val="0029660C"/>
    <w:rsid w:val="002967BA"/>
    <w:rsid w:val="0029699C"/>
    <w:rsid w:val="002969C8"/>
    <w:rsid w:val="00296E2B"/>
    <w:rsid w:val="002972C9"/>
    <w:rsid w:val="00297637"/>
    <w:rsid w:val="00297706"/>
    <w:rsid w:val="00297AB0"/>
    <w:rsid w:val="00297B04"/>
    <w:rsid w:val="002A002A"/>
    <w:rsid w:val="002A0255"/>
    <w:rsid w:val="002A0352"/>
    <w:rsid w:val="002A056C"/>
    <w:rsid w:val="002A05CF"/>
    <w:rsid w:val="002A17A8"/>
    <w:rsid w:val="002A1A5B"/>
    <w:rsid w:val="002A20CF"/>
    <w:rsid w:val="002A24A1"/>
    <w:rsid w:val="002A25E0"/>
    <w:rsid w:val="002A298F"/>
    <w:rsid w:val="002A2EFA"/>
    <w:rsid w:val="002A33FE"/>
    <w:rsid w:val="002A3864"/>
    <w:rsid w:val="002A3BB1"/>
    <w:rsid w:val="002A3BF0"/>
    <w:rsid w:val="002A3C6A"/>
    <w:rsid w:val="002A3CF8"/>
    <w:rsid w:val="002A413B"/>
    <w:rsid w:val="002A462C"/>
    <w:rsid w:val="002A4676"/>
    <w:rsid w:val="002A4B4A"/>
    <w:rsid w:val="002A537D"/>
    <w:rsid w:val="002A585A"/>
    <w:rsid w:val="002A5A43"/>
    <w:rsid w:val="002A5CCD"/>
    <w:rsid w:val="002A66A5"/>
    <w:rsid w:val="002A6EBB"/>
    <w:rsid w:val="002A76F7"/>
    <w:rsid w:val="002A771D"/>
    <w:rsid w:val="002A7D99"/>
    <w:rsid w:val="002A7EB4"/>
    <w:rsid w:val="002B0232"/>
    <w:rsid w:val="002B0A1D"/>
    <w:rsid w:val="002B12E4"/>
    <w:rsid w:val="002B13ED"/>
    <w:rsid w:val="002B1798"/>
    <w:rsid w:val="002B1B8E"/>
    <w:rsid w:val="002B1F9B"/>
    <w:rsid w:val="002B21E9"/>
    <w:rsid w:val="002B254E"/>
    <w:rsid w:val="002B2891"/>
    <w:rsid w:val="002B2A49"/>
    <w:rsid w:val="002B2B87"/>
    <w:rsid w:val="002B3260"/>
    <w:rsid w:val="002B34FC"/>
    <w:rsid w:val="002B3FEF"/>
    <w:rsid w:val="002B4D49"/>
    <w:rsid w:val="002B4E0F"/>
    <w:rsid w:val="002B501E"/>
    <w:rsid w:val="002B5190"/>
    <w:rsid w:val="002B5754"/>
    <w:rsid w:val="002B5840"/>
    <w:rsid w:val="002B5AF8"/>
    <w:rsid w:val="002B5F68"/>
    <w:rsid w:val="002B6745"/>
    <w:rsid w:val="002B67E6"/>
    <w:rsid w:val="002B6E3C"/>
    <w:rsid w:val="002B72D7"/>
    <w:rsid w:val="002B74A8"/>
    <w:rsid w:val="002B7F63"/>
    <w:rsid w:val="002C0414"/>
    <w:rsid w:val="002C0E9C"/>
    <w:rsid w:val="002C1485"/>
    <w:rsid w:val="002C16B7"/>
    <w:rsid w:val="002C1BE4"/>
    <w:rsid w:val="002C1DB2"/>
    <w:rsid w:val="002C1E9F"/>
    <w:rsid w:val="002C2A43"/>
    <w:rsid w:val="002C301E"/>
    <w:rsid w:val="002C44AB"/>
    <w:rsid w:val="002C4721"/>
    <w:rsid w:val="002C48AE"/>
    <w:rsid w:val="002C4A57"/>
    <w:rsid w:val="002C4ED9"/>
    <w:rsid w:val="002C55DC"/>
    <w:rsid w:val="002C581F"/>
    <w:rsid w:val="002C5A1A"/>
    <w:rsid w:val="002C60B7"/>
    <w:rsid w:val="002C6370"/>
    <w:rsid w:val="002C6882"/>
    <w:rsid w:val="002C69DD"/>
    <w:rsid w:val="002C6BF0"/>
    <w:rsid w:val="002C6D2A"/>
    <w:rsid w:val="002C7026"/>
    <w:rsid w:val="002C71CD"/>
    <w:rsid w:val="002C7494"/>
    <w:rsid w:val="002C789A"/>
    <w:rsid w:val="002C7BC0"/>
    <w:rsid w:val="002C7CCC"/>
    <w:rsid w:val="002C7DD1"/>
    <w:rsid w:val="002C7E08"/>
    <w:rsid w:val="002D0099"/>
    <w:rsid w:val="002D0530"/>
    <w:rsid w:val="002D05D6"/>
    <w:rsid w:val="002D06E5"/>
    <w:rsid w:val="002D089F"/>
    <w:rsid w:val="002D0DFA"/>
    <w:rsid w:val="002D1B2A"/>
    <w:rsid w:val="002D1ECE"/>
    <w:rsid w:val="002D210E"/>
    <w:rsid w:val="002D2313"/>
    <w:rsid w:val="002D240B"/>
    <w:rsid w:val="002D3031"/>
    <w:rsid w:val="002D387D"/>
    <w:rsid w:val="002D388B"/>
    <w:rsid w:val="002D3A3E"/>
    <w:rsid w:val="002D3B2F"/>
    <w:rsid w:val="002D3E0C"/>
    <w:rsid w:val="002D4169"/>
    <w:rsid w:val="002D4269"/>
    <w:rsid w:val="002D443A"/>
    <w:rsid w:val="002D465A"/>
    <w:rsid w:val="002D46D8"/>
    <w:rsid w:val="002D48DB"/>
    <w:rsid w:val="002D4BA7"/>
    <w:rsid w:val="002D5057"/>
    <w:rsid w:val="002D5635"/>
    <w:rsid w:val="002D5F7F"/>
    <w:rsid w:val="002D5FAF"/>
    <w:rsid w:val="002D65E8"/>
    <w:rsid w:val="002D6D12"/>
    <w:rsid w:val="002D7B7E"/>
    <w:rsid w:val="002D7CF9"/>
    <w:rsid w:val="002D7D32"/>
    <w:rsid w:val="002E02E5"/>
    <w:rsid w:val="002E0478"/>
    <w:rsid w:val="002E0791"/>
    <w:rsid w:val="002E0A46"/>
    <w:rsid w:val="002E0EA0"/>
    <w:rsid w:val="002E155D"/>
    <w:rsid w:val="002E1AF0"/>
    <w:rsid w:val="002E1B92"/>
    <w:rsid w:val="002E22CF"/>
    <w:rsid w:val="002E27C3"/>
    <w:rsid w:val="002E2DAA"/>
    <w:rsid w:val="002E2E5F"/>
    <w:rsid w:val="002E3038"/>
    <w:rsid w:val="002E399F"/>
    <w:rsid w:val="002E3FA8"/>
    <w:rsid w:val="002E4C02"/>
    <w:rsid w:val="002E5022"/>
    <w:rsid w:val="002E5089"/>
    <w:rsid w:val="002E510A"/>
    <w:rsid w:val="002E5286"/>
    <w:rsid w:val="002E52E2"/>
    <w:rsid w:val="002E5E76"/>
    <w:rsid w:val="002E5F07"/>
    <w:rsid w:val="002E62E9"/>
    <w:rsid w:val="002E6534"/>
    <w:rsid w:val="002E6E76"/>
    <w:rsid w:val="002E75BE"/>
    <w:rsid w:val="002E7B81"/>
    <w:rsid w:val="002F0012"/>
    <w:rsid w:val="002F0456"/>
    <w:rsid w:val="002F0875"/>
    <w:rsid w:val="002F08A5"/>
    <w:rsid w:val="002F09FB"/>
    <w:rsid w:val="002F0D85"/>
    <w:rsid w:val="002F0DD8"/>
    <w:rsid w:val="002F0FE3"/>
    <w:rsid w:val="002F10F1"/>
    <w:rsid w:val="002F122E"/>
    <w:rsid w:val="002F1240"/>
    <w:rsid w:val="002F1AF0"/>
    <w:rsid w:val="002F1E01"/>
    <w:rsid w:val="002F2530"/>
    <w:rsid w:val="002F272A"/>
    <w:rsid w:val="002F2CB9"/>
    <w:rsid w:val="002F2DA7"/>
    <w:rsid w:val="002F30DF"/>
    <w:rsid w:val="002F3225"/>
    <w:rsid w:val="002F39F7"/>
    <w:rsid w:val="002F3DB6"/>
    <w:rsid w:val="002F479A"/>
    <w:rsid w:val="002F5038"/>
    <w:rsid w:val="002F53B4"/>
    <w:rsid w:val="002F5424"/>
    <w:rsid w:val="002F595C"/>
    <w:rsid w:val="002F61E9"/>
    <w:rsid w:val="002F6F8D"/>
    <w:rsid w:val="002F712F"/>
    <w:rsid w:val="002F74D8"/>
    <w:rsid w:val="002F76D6"/>
    <w:rsid w:val="002F7A38"/>
    <w:rsid w:val="00300419"/>
    <w:rsid w:val="003006DF"/>
    <w:rsid w:val="00300A33"/>
    <w:rsid w:val="003010A2"/>
    <w:rsid w:val="003010A5"/>
    <w:rsid w:val="003010E9"/>
    <w:rsid w:val="00301E9A"/>
    <w:rsid w:val="003026C5"/>
    <w:rsid w:val="00302A1C"/>
    <w:rsid w:val="00302CAA"/>
    <w:rsid w:val="00303506"/>
    <w:rsid w:val="00303B0F"/>
    <w:rsid w:val="00303E2A"/>
    <w:rsid w:val="00304017"/>
    <w:rsid w:val="00304181"/>
    <w:rsid w:val="003041FD"/>
    <w:rsid w:val="00304861"/>
    <w:rsid w:val="00305A86"/>
    <w:rsid w:val="00305B4B"/>
    <w:rsid w:val="00306EF0"/>
    <w:rsid w:val="00307057"/>
    <w:rsid w:val="003079B4"/>
    <w:rsid w:val="00307A0D"/>
    <w:rsid w:val="00307FEA"/>
    <w:rsid w:val="0031045A"/>
    <w:rsid w:val="00310712"/>
    <w:rsid w:val="00311751"/>
    <w:rsid w:val="00311B39"/>
    <w:rsid w:val="003124EC"/>
    <w:rsid w:val="00312819"/>
    <w:rsid w:val="00312E9C"/>
    <w:rsid w:val="00313875"/>
    <w:rsid w:val="0031394C"/>
    <w:rsid w:val="00313F4D"/>
    <w:rsid w:val="00314378"/>
    <w:rsid w:val="0031486F"/>
    <w:rsid w:val="00314A0E"/>
    <w:rsid w:val="00314A3E"/>
    <w:rsid w:val="00314AEB"/>
    <w:rsid w:val="00314CCA"/>
    <w:rsid w:val="0031546E"/>
    <w:rsid w:val="00315545"/>
    <w:rsid w:val="003161F2"/>
    <w:rsid w:val="00316389"/>
    <w:rsid w:val="00316EA7"/>
    <w:rsid w:val="0031743A"/>
    <w:rsid w:val="0031787A"/>
    <w:rsid w:val="003178D4"/>
    <w:rsid w:val="0031798E"/>
    <w:rsid w:val="00317C06"/>
    <w:rsid w:val="00317FE4"/>
    <w:rsid w:val="003203BF"/>
    <w:rsid w:val="003205FB"/>
    <w:rsid w:val="00320BEF"/>
    <w:rsid w:val="00321369"/>
    <w:rsid w:val="00321AB9"/>
    <w:rsid w:val="00321FBE"/>
    <w:rsid w:val="003222BE"/>
    <w:rsid w:val="00322DE9"/>
    <w:rsid w:val="00322E81"/>
    <w:rsid w:val="003235F5"/>
    <w:rsid w:val="003236D7"/>
    <w:rsid w:val="00323899"/>
    <w:rsid w:val="0032415E"/>
    <w:rsid w:val="00324C16"/>
    <w:rsid w:val="003252ED"/>
    <w:rsid w:val="0032532A"/>
    <w:rsid w:val="00325502"/>
    <w:rsid w:val="00326099"/>
    <w:rsid w:val="0032664F"/>
    <w:rsid w:val="00326CAE"/>
    <w:rsid w:val="0032742E"/>
    <w:rsid w:val="00327C96"/>
    <w:rsid w:val="00330028"/>
    <w:rsid w:val="0033004F"/>
    <w:rsid w:val="003303C0"/>
    <w:rsid w:val="00330787"/>
    <w:rsid w:val="0033080E"/>
    <w:rsid w:val="003309D6"/>
    <w:rsid w:val="00330E56"/>
    <w:rsid w:val="00331017"/>
    <w:rsid w:val="003315E6"/>
    <w:rsid w:val="00331819"/>
    <w:rsid w:val="00331AF7"/>
    <w:rsid w:val="00331E90"/>
    <w:rsid w:val="003324F4"/>
    <w:rsid w:val="003328C3"/>
    <w:rsid w:val="00332DC1"/>
    <w:rsid w:val="00333046"/>
    <w:rsid w:val="003334CC"/>
    <w:rsid w:val="0033377C"/>
    <w:rsid w:val="00333F72"/>
    <w:rsid w:val="0033419F"/>
    <w:rsid w:val="003341E2"/>
    <w:rsid w:val="00334416"/>
    <w:rsid w:val="00334951"/>
    <w:rsid w:val="00335087"/>
    <w:rsid w:val="00335342"/>
    <w:rsid w:val="003353C5"/>
    <w:rsid w:val="00335763"/>
    <w:rsid w:val="00335D3F"/>
    <w:rsid w:val="00335EF7"/>
    <w:rsid w:val="00336641"/>
    <w:rsid w:val="00336738"/>
    <w:rsid w:val="003370A3"/>
    <w:rsid w:val="00337488"/>
    <w:rsid w:val="00337493"/>
    <w:rsid w:val="003375AA"/>
    <w:rsid w:val="003376EB"/>
    <w:rsid w:val="0033770F"/>
    <w:rsid w:val="00337CF7"/>
    <w:rsid w:val="003403B8"/>
    <w:rsid w:val="003409EF"/>
    <w:rsid w:val="00340D11"/>
    <w:rsid w:val="00340EA7"/>
    <w:rsid w:val="00341F45"/>
    <w:rsid w:val="0034226A"/>
    <w:rsid w:val="003422E5"/>
    <w:rsid w:val="0034263D"/>
    <w:rsid w:val="0034285F"/>
    <w:rsid w:val="00342B31"/>
    <w:rsid w:val="00343639"/>
    <w:rsid w:val="00343CE7"/>
    <w:rsid w:val="00343DC0"/>
    <w:rsid w:val="00344091"/>
    <w:rsid w:val="00344102"/>
    <w:rsid w:val="003441EF"/>
    <w:rsid w:val="00344209"/>
    <w:rsid w:val="00344444"/>
    <w:rsid w:val="003445A2"/>
    <w:rsid w:val="00344656"/>
    <w:rsid w:val="0034477F"/>
    <w:rsid w:val="0034495F"/>
    <w:rsid w:val="00345219"/>
    <w:rsid w:val="00345A9E"/>
    <w:rsid w:val="00345FCC"/>
    <w:rsid w:val="00346135"/>
    <w:rsid w:val="003464A4"/>
    <w:rsid w:val="00346745"/>
    <w:rsid w:val="00346A61"/>
    <w:rsid w:val="00346C37"/>
    <w:rsid w:val="00346F8E"/>
    <w:rsid w:val="0034780B"/>
    <w:rsid w:val="003478D0"/>
    <w:rsid w:val="0034795E"/>
    <w:rsid w:val="00347B38"/>
    <w:rsid w:val="0035007A"/>
    <w:rsid w:val="003503C0"/>
    <w:rsid w:val="00350708"/>
    <w:rsid w:val="00350BCA"/>
    <w:rsid w:val="00351634"/>
    <w:rsid w:val="00351684"/>
    <w:rsid w:val="003518BC"/>
    <w:rsid w:val="003519C0"/>
    <w:rsid w:val="00351CB5"/>
    <w:rsid w:val="00351E8F"/>
    <w:rsid w:val="003525B3"/>
    <w:rsid w:val="003526B2"/>
    <w:rsid w:val="00352E7A"/>
    <w:rsid w:val="00352EF4"/>
    <w:rsid w:val="00353655"/>
    <w:rsid w:val="003538CE"/>
    <w:rsid w:val="00353B85"/>
    <w:rsid w:val="00353C00"/>
    <w:rsid w:val="00353C01"/>
    <w:rsid w:val="003543FA"/>
    <w:rsid w:val="00354458"/>
    <w:rsid w:val="00354B28"/>
    <w:rsid w:val="00354E82"/>
    <w:rsid w:val="00355001"/>
    <w:rsid w:val="0035512A"/>
    <w:rsid w:val="0035519C"/>
    <w:rsid w:val="0035588B"/>
    <w:rsid w:val="00355F49"/>
    <w:rsid w:val="00356D0D"/>
    <w:rsid w:val="00357326"/>
    <w:rsid w:val="00357735"/>
    <w:rsid w:val="00357737"/>
    <w:rsid w:val="003579CE"/>
    <w:rsid w:val="00357AF8"/>
    <w:rsid w:val="00360750"/>
    <w:rsid w:val="00360CBA"/>
    <w:rsid w:val="00360F45"/>
    <w:rsid w:val="003611D3"/>
    <w:rsid w:val="00361751"/>
    <w:rsid w:val="003618AF"/>
    <w:rsid w:val="00361937"/>
    <w:rsid w:val="00361B11"/>
    <w:rsid w:val="00361D0B"/>
    <w:rsid w:val="00361D89"/>
    <w:rsid w:val="00361F78"/>
    <w:rsid w:val="00361F9E"/>
    <w:rsid w:val="00362493"/>
    <w:rsid w:val="0036275A"/>
    <w:rsid w:val="003627C0"/>
    <w:rsid w:val="0036287C"/>
    <w:rsid w:val="003630EE"/>
    <w:rsid w:val="00363653"/>
    <w:rsid w:val="003636BE"/>
    <w:rsid w:val="00363874"/>
    <w:rsid w:val="00363929"/>
    <w:rsid w:val="003639DE"/>
    <w:rsid w:val="00363ECA"/>
    <w:rsid w:val="003640F7"/>
    <w:rsid w:val="003647B0"/>
    <w:rsid w:val="0036509D"/>
    <w:rsid w:val="00365C57"/>
    <w:rsid w:val="003665A9"/>
    <w:rsid w:val="003665CC"/>
    <w:rsid w:val="0036661A"/>
    <w:rsid w:val="003672FF"/>
    <w:rsid w:val="00367848"/>
    <w:rsid w:val="0036790D"/>
    <w:rsid w:val="0037102A"/>
    <w:rsid w:val="00371081"/>
    <w:rsid w:val="00371383"/>
    <w:rsid w:val="003713EF"/>
    <w:rsid w:val="00371635"/>
    <w:rsid w:val="00371661"/>
    <w:rsid w:val="0037168B"/>
    <w:rsid w:val="00371DF5"/>
    <w:rsid w:val="00371ED5"/>
    <w:rsid w:val="003721DB"/>
    <w:rsid w:val="00372241"/>
    <w:rsid w:val="0037228C"/>
    <w:rsid w:val="00372B99"/>
    <w:rsid w:val="00372BE5"/>
    <w:rsid w:val="003737A7"/>
    <w:rsid w:val="003738FD"/>
    <w:rsid w:val="00373BB0"/>
    <w:rsid w:val="00373CB5"/>
    <w:rsid w:val="00374287"/>
    <w:rsid w:val="00374363"/>
    <w:rsid w:val="00374A52"/>
    <w:rsid w:val="00374DE0"/>
    <w:rsid w:val="00374E35"/>
    <w:rsid w:val="00375153"/>
    <w:rsid w:val="00375BD4"/>
    <w:rsid w:val="00375DC0"/>
    <w:rsid w:val="00376451"/>
    <w:rsid w:val="00376B49"/>
    <w:rsid w:val="00376CDC"/>
    <w:rsid w:val="00377128"/>
    <w:rsid w:val="003775B8"/>
    <w:rsid w:val="003775E8"/>
    <w:rsid w:val="00377C66"/>
    <w:rsid w:val="00377FCF"/>
    <w:rsid w:val="00380F70"/>
    <w:rsid w:val="003810BE"/>
    <w:rsid w:val="0038122A"/>
    <w:rsid w:val="003812CC"/>
    <w:rsid w:val="003826B5"/>
    <w:rsid w:val="003837C8"/>
    <w:rsid w:val="00384FC0"/>
    <w:rsid w:val="003859FD"/>
    <w:rsid w:val="00385A94"/>
    <w:rsid w:val="00385AB8"/>
    <w:rsid w:val="003861C7"/>
    <w:rsid w:val="00386F6C"/>
    <w:rsid w:val="00387621"/>
    <w:rsid w:val="00387675"/>
    <w:rsid w:val="00387709"/>
    <w:rsid w:val="00387719"/>
    <w:rsid w:val="00387794"/>
    <w:rsid w:val="003878E7"/>
    <w:rsid w:val="00387904"/>
    <w:rsid w:val="00387C4D"/>
    <w:rsid w:val="00390147"/>
    <w:rsid w:val="00390379"/>
    <w:rsid w:val="003905B5"/>
    <w:rsid w:val="0039090A"/>
    <w:rsid w:val="00390B06"/>
    <w:rsid w:val="003912CC"/>
    <w:rsid w:val="00391DA7"/>
    <w:rsid w:val="00393628"/>
    <w:rsid w:val="003937DB"/>
    <w:rsid w:val="00393A2A"/>
    <w:rsid w:val="003940F4"/>
    <w:rsid w:val="0039414D"/>
    <w:rsid w:val="003946E4"/>
    <w:rsid w:val="003947DC"/>
    <w:rsid w:val="00394B06"/>
    <w:rsid w:val="00395C8C"/>
    <w:rsid w:val="0039610F"/>
    <w:rsid w:val="003962A1"/>
    <w:rsid w:val="00396989"/>
    <w:rsid w:val="00396B9F"/>
    <w:rsid w:val="00397162"/>
    <w:rsid w:val="003A060B"/>
    <w:rsid w:val="003A1A84"/>
    <w:rsid w:val="003A2790"/>
    <w:rsid w:val="003A2934"/>
    <w:rsid w:val="003A2B8D"/>
    <w:rsid w:val="003A2F01"/>
    <w:rsid w:val="003A303A"/>
    <w:rsid w:val="003A335E"/>
    <w:rsid w:val="003A381F"/>
    <w:rsid w:val="003A3DD2"/>
    <w:rsid w:val="003A445E"/>
    <w:rsid w:val="003A44DE"/>
    <w:rsid w:val="003A478E"/>
    <w:rsid w:val="003A4B0C"/>
    <w:rsid w:val="003A4DD8"/>
    <w:rsid w:val="003A515E"/>
    <w:rsid w:val="003A57B3"/>
    <w:rsid w:val="003A5D6A"/>
    <w:rsid w:val="003A5FFE"/>
    <w:rsid w:val="003A6260"/>
    <w:rsid w:val="003A63F5"/>
    <w:rsid w:val="003A6B3C"/>
    <w:rsid w:val="003A732C"/>
    <w:rsid w:val="003A761F"/>
    <w:rsid w:val="003A7C47"/>
    <w:rsid w:val="003A7D03"/>
    <w:rsid w:val="003B0779"/>
    <w:rsid w:val="003B0791"/>
    <w:rsid w:val="003B10E2"/>
    <w:rsid w:val="003B1120"/>
    <w:rsid w:val="003B1514"/>
    <w:rsid w:val="003B1A82"/>
    <w:rsid w:val="003B1EF2"/>
    <w:rsid w:val="003B253D"/>
    <w:rsid w:val="003B2AF5"/>
    <w:rsid w:val="003B2BC6"/>
    <w:rsid w:val="003B2FC4"/>
    <w:rsid w:val="003B312F"/>
    <w:rsid w:val="003B334F"/>
    <w:rsid w:val="003B3573"/>
    <w:rsid w:val="003B35A5"/>
    <w:rsid w:val="003B3699"/>
    <w:rsid w:val="003B3E45"/>
    <w:rsid w:val="003B3F53"/>
    <w:rsid w:val="003B40C4"/>
    <w:rsid w:val="003B4183"/>
    <w:rsid w:val="003B4931"/>
    <w:rsid w:val="003B4C93"/>
    <w:rsid w:val="003B53E5"/>
    <w:rsid w:val="003B57BB"/>
    <w:rsid w:val="003B5813"/>
    <w:rsid w:val="003B5BED"/>
    <w:rsid w:val="003B6564"/>
    <w:rsid w:val="003B66CB"/>
    <w:rsid w:val="003B699E"/>
    <w:rsid w:val="003B6DCB"/>
    <w:rsid w:val="003B7081"/>
    <w:rsid w:val="003B79FB"/>
    <w:rsid w:val="003B7B30"/>
    <w:rsid w:val="003B7B65"/>
    <w:rsid w:val="003B7CE7"/>
    <w:rsid w:val="003C0050"/>
    <w:rsid w:val="003C03EA"/>
    <w:rsid w:val="003C0689"/>
    <w:rsid w:val="003C0CE6"/>
    <w:rsid w:val="003C1284"/>
    <w:rsid w:val="003C196B"/>
    <w:rsid w:val="003C1986"/>
    <w:rsid w:val="003C1BF9"/>
    <w:rsid w:val="003C1CB3"/>
    <w:rsid w:val="003C209B"/>
    <w:rsid w:val="003C2B44"/>
    <w:rsid w:val="003C315E"/>
    <w:rsid w:val="003C32F6"/>
    <w:rsid w:val="003C3609"/>
    <w:rsid w:val="003C360F"/>
    <w:rsid w:val="003C3AD4"/>
    <w:rsid w:val="003C3B73"/>
    <w:rsid w:val="003C3FAC"/>
    <w:rsid w:val="003C402B"/>
    <w:rsid w:val="003C42AA"/>
    <w:rsid w:val="003C447D"/>
    <w:rsid w:val="003C454C"/>
    <w:rsid w:val="003C4D81"/>
    <w:rsid w:val="003C4E9C"/>
    <w:rsid w:val="003C51AE"/>
    <w:rsid w:val="003C52B8"/>
    <w:rsid w:val="003C55B2"/>
    <w:rsid w:val="003C58A4"/>
    <w:rsid w:val="003C5916"/>
    <w:rsid w:val="003C5BB0"/>
    <w:rsid w:val="003C5E11"/>
    <w:rsid w:val="003C5F92"/>
    <w:rsid w:val="003C614A"/>
    <w:rsid w:val="003C69D9"/>
    <w:rsid w:val="003C6E1D"/>
    <w:rsid w:val="003C7495"/>
    <w:rsid w:val="003C7784"/>
    <w:rsid w:val="003C7B82"/>
    <w:rsid w:val="003C7D5C"/>
    <w:rsid w:val="003D058C"/>
    <w:rsid w:val="003D05C3"/>
    <w:rsid w:val="003D1006"/>
    <w:rsid w:val="003D14EF"/>
    <w:rsid w:val="003D1771"/>
    <w:rsid w:val="003D1F78"/>
    <w:rsid w:val="003D2634"/>
    <w:rsid w:val="003D2A3C"/>
    <w:rsid w:val="003D2B41"/>
    <w:rsid w:val="003D343A"/>
    <w:rsid w:val="003D34A9"/>
    <w:rsid w:val="003D36F8"/>
    <w:rsid w:val="003D403A"/>
    <w:rsid w:val="003D40BB"/>
    <w:rsid w:val="003D439D"/>
    <w:rsid w:val="003D45B2"/>
    <w:rsid w:val="003D4A18"/>
    <w:rsid w:val="003D51BA"/>
    <w:rsid w:val="003D5A2E"/>
    <w:rsid w:val="003D5DBD"/>
    <w:rsid w:val="003D6089"/>
    <w:rsid w:val="003D6384"/>
    <w:rsid w:val="003D6668"/>
    <w:rsid w:val="003D6C1C"/>
    <w:rsid w:val="003D6E22"/>
    <w:rsid w:val="003D72B0"/>
    <w:rsid w:val="003D76B1"/>
    <w:rsid w:val="003D7ECD"/>
    <w:rsid w:val="003E0672"/>
    <w:rsid w:val="003E08C6"/>
    <w:rsid w:val="003E0D8C"/>
    <w:rsid w:val="003E0F33"/>
    <w:rsid w:val="003E1212"/>
    <w:rsid w:val="003E1429"/>
    <w:rsid w:val="003E1594"/>
    <w:rsid w:val="003E17A6"/>
    <w:rsid w:val="003E17EE"/>
    <w:rsid w:val="003E1DDA"/>
    <w:rsid w:val="003E1ECB"/>
    <w:rsid w:val="003E20A6"/>
    <w:rsid w:val="003E2164"/>
    <w:rsid w:val="003E2A35"/>
    <w:rsid w:val="003E2C45"/>
    <w:rsid w:val="003E2D89"/>
    <w:rsid w:val="003E3BCC"/>
    <w:rsid w:val="003E3D2D"/>
    <w:rsid w:val="003E417E"/>
    <w:rsid w:val="003E4639"/>
    <w:rsid w:val="003E4AA5"/>
    <w:rsid w:val="003E4C43"/>
    <w:rsid w:val="003E4F46"/>
    <w:rsid w:val="003E53DC"/>
    <w:rsid w:val="003E54C5"/>
    <w:rsid w:val="003E5562"/>
    <w:rsid w:val="003E5DD6"/>
    <w:rsid w:val="003E624D"/>
    <w:rsid w:val="003E631C"/>
    <w:rsid w:val="003E6566"/>
    <w:rsid w:val="003E6B3A"/>
    <w:rsid w:val="003E7748"/>
    <w:rsid w:val="003E7B6D"/>
    <w:rsid w:val="003E7B6F"/>
    <w:rsid w:val="003E7BB8"/>
    <w:rsid w:val="003E7E48"/>
    <w:rsid w:val="003F04A6"/>
    <w:rsid w:val="003F07AC"/>
    <w:rsid w:val="003F13E8"/>
    <w:rsid w:val="003F172F"/>
    <w:rsid w:val="003F19E7"/>
    <w:rsid w:val="003F1CCD"/>
    <w:rsid w:val="003F1CEC"/>
    <w:rsid w:val="003F2693"/>
    <w:rsid w:val="003F2AF8"/>
    <w:rsid w:val="003F2C11"/>
    <w:rsid w:val="003F3963"/>
    <w:rsid w:val="003F4080"/>
    <w:rsid w:val="003F43BF"/>
    <w:rsid w:val="003F4432"/>
    <w:rsid w:val="003F4EC2"/>
    <w:rsid w:val="003F5312"/>
    <w:rsid w:val="003F6A72"/>
    <w:rsid w:val="003F6B64"/>
    <w:rsid w:val="003F6BE4"/>
    <w:rsid w:val="003F6BF5"/>
    <w:rsid w:val="003F6CB8"/>
    <w:rsid w:val="003F6D87"/>
    <w:rsid w:val="003F765F"/>
    <w:rsid w:val="003F76A1"/>
    <w:rsid w:val="003F7AB4"/>
    <w:rsid w:val="00400030"/>
    <w:rsid w:val="00400738"/>
    <w:rsid w:val="00400773"/>
    <w:rsid w:val="00400868"/>
    <w:rsid w:val="00400986"/>
    <w:rsid w:val="0040098A"/>
    <w:rsid w:val="00400C4F"/>
    <w:rsid w:val="00400E0B"/>
    <w:rsid w:val="00400F2E"/>
    <w:rsid w:val="004011C4"/>
    <w:rsid w:val="004016D5"/>
    <w:rsid w:val="004017F3"/>
    <w:rsid w:val="00401DAF"/>
    <w:rsid w:val="00402735"/>
    <w:rsid w:val="0040303A"/>
    <w:rsid w:val="00403365"/>
    <w:rsid w:val="0040399F"/>
    <w:rsid w:val="00403CF8"/>
    <w:rsid w:val="00403E3F"/>
    <w:rsid w:val="004040E3"/>
    <w:rsid w:val="00405DCB"/>
    <w:rsid w:val="00406777"/>
    <w:rsid w:val="00407459"/>
    <w:rsid w:val="00407746"/>
    <w:rsid w:val="004078B2"/>
    <w:rsid w:val="004079A9"/>
    <w:rsid w:val="00407BF0"/>
    <w:rsid w:val="00407EAE"/>
    <w:rsid w:val="00410523"/>
    <w:rsid w:val="004108B7"/>
    <w:rsid w:val="004109E2"/>
    <w:rsid w:val="00410F93"/>
    <w:rsid w:val="0041180E"/>
    <w:rsid w:val="004120D4"/>
    <w:rsid w:val="00412338"/>
    <w:rsid w:val="004123EA"/>
    <w:rsid w:val="004124E1"/>
    <w:rsid w:val="00412720"/>
    <w:rsid w:val="004133E4"/>
    <w:rsid w:val="00413509"/>
    <w:rsid w:val="0041441D"/>
    <w:rsid w:val="00414782"/>
    <w:rsid w:val="00414907"/>
    <w:rsid w:val="00414D01"/>
    <w:rsid w:val="00414E8C"/>
    <w:rsid w:val="00415EB5"/>
    <w:rsid w:val="0041655A"/>
    <w:rsid w:val="00416D98"/>
    <w:rsid w:val="00416D9B"/>
    <w:rsid w:val="00416FC7"/>
    <w:rsid w:val="004170FE"/>
    <w:rsid w:val="004174B8"/>
    <w:rsid w:val="00420576"/>
    <w:rsid w:val="0042072F"/>
    <w:rsid w:val="004209E6"/>
    <w:rsid w:val="00420A0A"/>
    <w:rsid w:val="00420E41"/>
    <w:rsid w:val="00420FC5"/>
    <w:rsid w:val="004212B3"/>
    <w:rsid w:val="004214D6"/>
    <w:rsid w:val="00421575"/>
    <w:rsid w:val="00421E67"/>
    <w:rsid w:val="00422598"/>
    <w:rsid w:val="004225FA"/>
    <w:rsid w:val="00422892"/>
    <w:rsid w:val="00422D69"/>
    <w:rsid w:val="0042324B"/>
    <w:rsid w:val="004234E8"/>
    <w:rsid w:val="0042359C"/>
    <w:rsid w:val="00423D92"/>
    <w:rsid w:val="00424631"/>
    <w:rsid w:val="00425025"/>
    <w:rsid w:val="00425100"/>
    <w:rsid w:val="004251AD"/>
    <w:rsid w:val="0042584A"/>
    <w:rsid w:val="004259B1"/>
    <w:rsid w:val="00425A1F"/>
    <w:rsid w:val="00425CF6"/>
    <w:rsid w:val="00425EB1"/>
    <w:rsid w:val="00426805"/>
    <w:rsid w:val="00426A5C"/>
    <w:rsid w:val="00427049"/>
    <w:rsid w:val="0042739B"/>
    <w:rsid w:val="004275DE"/>
    <w:rsid w:val="00427B5E"/>
    <w:rsid w:val="00427FED"/>
    <w:rsid w:val="00430150"/>
    <w:rsid w:val="004302F9"/>
    <w:rsid w:val="004304CC"/>
    <w:rsid w:val="00430669"/>
    <w:rsid w:val="0043091F"/>
    <w:rsid w:val="00430E84"/>
    <w:rsid w:val="00431190"/>
    <w:rsid w:val="004315AD"/>
    <w:rsid w:val="004317DF"/>
    <w:rsid w:val="004319FA"/>
    <w:rsid w:val="0043229B"/>
    <w:rsid w:val="00432531"/>
    <w:rsid w:val="004325F2"/>
    <w:rsid w:val="00432A9B"/>
    <w:rsid w:val="00432E52"/>
    <w:rsid w:val="00432EAF"/>
    <w:rsid w:val="00432F23"/>
    <w:rsid w:val="00433163"/>
    <w:rsid w:val="0043373F"/>
    <w:rsid w:val="004342B2"/>
    <w:rsid w:val="004348E3"/>
    <w:rsid w:val="00434A2E"/>
    <w:rsid w:val="004351F2"/>
    <w:rsid w:val="0043523B"/>
    <w:rsid w:val="00435287"/>
    <w:rsid w:val="004354B4"/>
    <w:rsid w:val="004365ED"/>
    <w:rsid w:val="00436E43"/>
    <w:rsid w:val="00436EDB"/>
    <w:rsid w:val="00436F5D"/>
    <w:rsid w:val="00437777"/>
    <w:rsid w:val="00437809"/>
    <w:rsid w:val="00437A81"/>
    <w:rsid w:val="00437EFF"/>
    <w:rsid w:val="004400D7"/>
    <w:rsid w:val="004405E8"/>
    <w:rsid w:val="00440761"/>
    <w:rsid w:val="00440A22"/>
    <w:rsid w:val="00440A5E"/>
    <w:rsid w:val="00440A8F"/>
    <w:rsid w:val="00440B08"/>
    <w:rsid w:val="00441093"/>
    <w:rsid w:val="00441518"/>
    <w:rsid w:val="004416AE"/>
    <w:rsid w:val="004416C4"/>
    <w:rsid w:val="004426FC"/>
    <w:rsid w:val="00442857"/>
    <w:rsid w:val="004428FA"/>
    <w:rsid w:val="00443FC2"/>
    <w:rsid w:val="00444E1C"/>
    <w:rsid w:val="00445135"/>
    <w:rsid w:val="0044559B"/>
    <w:rsid w:val="004455FA"/>
    <w:rsid w:val="004468AA"/>
    <w:rsid w:val="004469B7"/>
    <w:rsid w:val="00446ACF"/>
    <w:rsid w:val="00446B46"/>
    <w:rsid w:val="004470E8"/>
    <w:rsid w:val="0044752F"/>
    <w:rsid w:val="00447AA4"/>
    <w:rsid w:val="00447EA0"/>
    <w:rsid w:val="00450F0C"/>
    <w:rsid w:val="0045114E"/>
    <w:rsid w:val="00451AA0"/>
    <w:rsid w:val="0045212B"/>
    <w:rsid w:val="0045218A"/>
    <w:rsid w:val="004523DA"/>
    <w:rsid w:val="00452859"/>
    <w:rsid w:val="00452B44"/>
    <w:rsid w:val="00452BA8"/>
    <w:rsid w:val="004530DA"/>
    <w:rsid w:val="00453282"/>
    <w:rsid w:val="004533E6"/>
    <w:rsid w:val="00453487"/>
    <w:rsid w:val="0045406E"/>
    <w:rsid w:val="004543DA"/>
    <w:rsid w:val="004546EB"/>
    <w:rsid w:val="00454874"/>
    <w:rsid w:val="00455158"/>
    <w:rsid w:val="0045531A"/>
    <w:rsid w:val="00455464"/>
    <w:rsid w:val="0045550E"/>
    <w:rsid w:val="00455847"/>
    <w:rsid w:val="00455A06"/>
    <w:rsid w:val="00455B1C"/>
    <w:rsid w:val="00455C56"/>
    <w:rsid w:val="00455DA4"/>
    <w:rsid w:val="00456456"/>
    <w:rsid w:val="004565A7"/>
    <w:rsid w:val="00456BB3"/>
    <w:rsid w:val="00456D57"/>
    <w:rsid w:val="00456E4F"/>
    <w:rsid w:val="00457A55"/>
    <w:rsid w:val="00457B64"/>
    <w:rsid w:val="00457B86"/>
    <w:rsid w:val="00457F1D"/>
    <w:rsid w:val="00460357"/>
    <w:rsid w:val="00460963"/>
    <w:rsid w:val="00460AE0"/>
    <w:rsid w:val="00460DCA"/>
    <w:rsid w:val="0046190B"/>
    <w:rsid w:val="004619CC"/>
    <w:rsid w:val="00461A5F"/>
    <w:rsid w:val="00461E28"/>
    <w:rsid w:val="00462367"/>
    <w:rsid w:val="004637AA"/>
    <w:rsid w:val="004638ED"/>
    <w:rsid w:val="0046490C"/>
    <w:rsid w:val="00464B43"/>
    <w:rsid w:val="0046566E"/>
    <w:rsid w:val="004656F8"/>
    <w:rsid w:val="00466E5A"/>
    <w:rsid w:val="00466F95"/>
    <w:rsid w:val="0046712B"/>
    <w:rsid w:val="00467B02"/>
    <w:rsid w:val="00470287"/>
    <w:rsid w:val="00470288"/>
    <w:rsid w:val="004702FA"/>
    <w:rsid w:val="004704BF"/>
    <w:rsid w:val="00470733"/>
    <w:rsid w:val="00470A85"/>
    <w:rsid w:val="0047113C"/>
    <w:rsid w:val="00471491"/>
    <w:rsid w:val="0047193C"/>
    <w:rsid w:val="00471EB5"/>
    <w:rsid w:val="004724C7"/>
    <w:rsid w:val="00473714"/>
    <w:rsid w:val="00473880"/>
    <w:rsid w:val="004739B1"/>
    <w:rsid w:val="00473AF9"/>
    <w:rsid w:val="00473DDE"/>
    <w:rsid w:val="0047420E"/>
    <w:rsid w:val="004744DF"/>
    <w:rsid w:val="0047493B"/>
    <w:rsid w:val="00474F71"/>
    <w:rsid w:val="004750A1"/>
    <w:rsid w:val="00475478"/>
    <w:rsid w:val="004757B4"/>
    <w:rsid w:val="00475880"/>
    <w:rsid w:val="00476642"/>
    <w:rsid w:val="004772AA"/>
    <w:rsid w:val="004773D3"/>
    <w:rsid w:val="0047746B"/>
    <w:rsid w:val="00477C53"/>
    <w:rsid w:val="00480DCC"/>
    <w:rsid w:val="00480EC4"/>
    <w:rsid w:val="0048127A"/>
    <w:rsid w:val="004818E3"/>
    <w:rsid w:val="00481E0C"/>
    <w:rsid w:val="0048278E"/>
    <w:rsid w:val="004827D3"/>
    <w:rsid w:val="00482CFA"/>
    <w:rsid w:val="00482E73"/>
    <w:rsid w:val="00482F67"/>
    <w:rsid w:val="00482FB0"/>
    <w:rsid w:val="00483575"/>
    <w:rsid w:val="00483BEA"/>
    <w:rsid w:val="004847DD"/>
    <w:rsid w:val="004850F5"/>
    <w:rsid w:val="004851CA"/>
    <w:rsid w:val="00485380"/>
    <w:rsid w:val="0048595A"/>
    <w:rsid w:val="00485A86"/>
    <w:rsid w:val="00485CD2"/>
    <w:rsid w:val="00485FD9"/>
    <w:rsid w:val="004862FB"/>
    <w:rsid w:val="0048692D"/>
    <w:rsid w:val="00486A22"/>
    <w:rsid w:val="0048719C"/>
    <w:rsid w:val="004874DB"/>
    <w:rsid w:val="004877F2"/>
    <w:rsid w:val="004878EA"/>
    <w:rsid w:val="00487C4C"/>
    <w:rsid w:val="00490322"/>
    <w:rsid w:val="0049033C"/>
    <w:rsid w:val="004907BE"/>
    <w:rsid w:val="004908D0"/>
    <w:rsid w:val="00490B06"/>
    <w:rsid w:val="004912D4"/>
    <w:rsid w:val="004919FF"/>
    <w:rsid w:val="00491EDB"/>
    <w:rsid w:val="0049231A"/>
    <w:rsid w:val="00492461"/>
    <w:rsid w:val="004928C1"/>
    <w:rsid w:val="004933C8"/>
    <w:rsid w:val="00493500"/>
    <w:rsid w:val="004935A7"/>
    <w:rsid w:val="00493762"/>
    <w:rsid w:val="00493AC8"/>
    <w:rsid w:val="00493D87"/>
    <w:rsid w:val="00493E30"/>
    <w:rsid w:val="00493E6A"/>
    <w:rsid w:val="0049418F"/>
    <w:rsid w:val="00494381"/>
    <w:rsid w:val="004950CC"/>
    <w:rsid w:val="004950D4"/>
    <w:rsid w:val="00495A33"/>
    <w:rsid w:val="00495E05"/>
    <w:rsid w:val="004962C4"/>
    <w:rsid w:val="00496F1B"/>
    <w:rsid w:val="004971A9"/>
    <w:rsid w:val="004972A2"/>
    <w:rsid w:val="00497839"/>
    <w:rsid w:val="0049799C"/>
    <w:rsid w:val="004A018C"/>
    <w:rsid w:val="004A0506"/>
    <w:rsid w:val="004A0599"/>
    <w:rsid w:val="004A0B4D"/>
    <w:rsid w:val="004A0C15"/>
    <w:rsid w:val="004A0E00"/>
    <w:rsid w:val="004A13EB"/>
    <w:rsid w:val="004A14F0"/>
    <w:rsid w:val="004A1B58"/>
    <w:rsid w:val="004A1F85"/>
    <w:rsid w:val="004A22BB"/>
    <w:rsid w:val="004A2342"/>
    <w:rsid w:val="004A251B"/>
    <w:rsid w:val="004A2B3E"/>
    <w:rsid w:val="004A2B88"/>
    <w:rsid w:val="004A2F62"/>
    <w:rsid w:val="004A33F3"/>
    <w:rsid w:val="004A39B8"/>
    <w:rsid w:val="004A3B4E"/>
    <w:rsid w:val="004A3BA2"/>
    <w:rsid w:val="004A3FC6"/>
    <w:rsid w:val="004A4AE5"/>
    <w:rsid w:val="004A549E"/>
    <w:rsid w:val="004A5D7F"/>
    <w:rsid w:val="004A669A"/>
    <w:rsid w:val="004A694F"/>
    <w:rsid w:val="004A69DD"/>
    <w:rsid w:val="004A6FE5"/>
    <w:rsid w:val="004A7042"/>
    <w:rsid w:val="004A7294"/>
    <w:rsid w:val="004A7328"/>
    <w:rsid w:val="004A7647"/>
    <w:rsid w:val="004A7D1B"/>
    <w:rsid w:val="004B05AD"/>
    <w:rsid w:val="004B0900"/>
    <w:rsid w:val="004B0D73"/>
    <w:rsid w:val="004B12E1"/>
    <w:rsid w:val="004B15C9"/>
    <w:rsid w:val="004B1BD3"/>
    <w:rsid w:val="004B1DB8"/>
    <w:rsid w:val="004B24B7"/>
    <w:rsid w:val="004B29EE"/>
    <w:rsid w:val="004B2E82"/>
    <w:rsid w:val="004B2EB6"/>
    <w:rsid w:val="004B2F01"/>
    <w:rsid w:val="004B3039"/>
    <w:rsid w:val="004B316D"/>
    <w:rsid w:val="004B33C3"/>
    <w:rsid w:val="004B33E1"/>
    <w:rsid w:val="004B355C"/>
    <w:rsid w:val="004B37CB"/>
    <w:rsid w:val="004B4182"/>
    <w:rsid w:val="004B4538"/>
    <w:rsid w:val="004B482C"/>
    <w:rsid w:val="004B48F0"/>
    <w:rsid w:val="004B4AC6"/>
    <w:rsid w:val="004B4E77"/>
    <w:rsid w:val="004B5E75"/>
    <w:rsid w:val="004B6670"/>
    <w:rsid w:val="004B6C20"/>
    <w:rsid w:val="004B6FB6"/>
    <w:rsid w:val="004C012F"/>
    <w:rsid w:val="004C0296"/>
    <w:rsid w:val="004C0786"/>
    <w:rsid w:val="004C0AC9"/>
    <w:rsid w:val="004C0BF7"/>
    <w:rsid w:val="004C0DE9"/>
    <w:rsid w:val="004C1186"/>
    <w:rsid w:val="004C11CA"/>
    <w:rsid w:val="004C17F0"/>
    <w:rsid w:val="004C1B78"/>
    <w:rsid w:val="004C1FE2"/>
    <w:rsid w:val="004C2263"/>
    <w:rsid w:val="004C2306"/>
    <w:rsid w:val="004C2D74"/>
    <w:rsid w:val="004C3851"/>
    <w:rsid w:val="004C3ABC"/>
    <w:rsid w:val="004C3AFE"/>
    <w:rsid w:val="004C3AFF"/>
    <w:rsid w:val="004C4182"/>
    <w:rsid w:val="004C4D2E"/>
    <w:rsid w:val="004C5006"/>
    <w:rsid w:val="004C54B2"/>
    <w:rsid w:val="004C571D"/>
    <w:rsid w:val="004C5A9B"/>
    <w:rsid w:val="004C5BE7"/>
    <w:rsid w:val="004C6682"/>
    <w:rsid w:val="004C6745"/>
    <w:rsid w:val="004C68D5"/>
    <w:rsid w:val="004C72A5"/>
    <w:rsid w:val="004C7675"/>
    <w:rsid w:val="004C7DC3"/>
    <w:rsid w:val="004D004E"/>
    <w:rsid w:val="004D0B92"/>
    <w:rsid w:val="004D0FAC"/>
    <w:rsid w:val="004D12B6"/>
    <w:rsid w:val="004D16A5"/>
    <w:rsid w:val="004D1831"/>
    <w:rsid w:val="004D1A7F"/>
    <w:rsid w:val="004D1CBF"/>
    <w:rsid w:val="004D24EB"/>
    <w:rsid w:val="004D2C51"/>
    <w:rsid w:val="004D32BB"/>
    <w:rsid w:val="004D34FC"/>
    <w:rsid w:val="004D35A2"/>
    <w:rsid w:val="004D39C3"/>
    <w:rsid w:val="004D473F"/>
    <w:rsid w:val="004D47CA"/>
    <w:rsid w:val="004D4921"/>
    <w:rsid w:val="004D4A02"/>
    <w:rsid w:val="004D4D07"/>
    <w:rsid w:val="004D52CC"/>
    <w:rsid w:val="004D5E20"/>
    <w:rsid w:val="004D5FD1"/>
    <w:rsid w:val="004D6035"/>
    <w:rsid w:val="004D6443"/>
    <w:rsid w:val="004D6689"/>
    <w:rsid w:val="004D674C"/>
    <w:rsid w:val="004D6933"/>
    <w:rsid w:val="004D6972"/>
    <w:rsid w:val="004D6BA0"/>
    <w:rsid w:val="004E0480"/>
    <w:rsid w:val="004E04E7"/>
    <w:rsid w:val="004E0C5C"/>
    <w:rsid w:val="004E0E58"/>
    <w:rsid w:val="004E124B"/>
    <w:rsid w:val="004E1BD0"/>
    <w:rsid w:val="004E1D88"/>
    <w:rsid w:val="004E1E02"/>
    <w:rsid w:val="004E22A7"/>
    <w:rsid w:val="004E25D3"/>
    <w:rsid w:val="004E28D0"/>
    <w:rsid w:val="004E2DEC"/>
    <w:rsid w:val="004E2FAA"/>
    <w:rsid w:val="004E38E3"/>
    <w:rsid w:val="004E3B0B"/>
    <w:rsid w:val="004E433B"/>
    <w:rsid w:val="004E4604"/>
    <w:rsid w:val="004E4A28"/>
    <w:rsid w:val="004E52C3"/>
    <w:rsid w:val="004E5565"/>
    <w:rsid w:val="004E59A6"/>
    <w:rsid w:val="004E6350"/>
    <w:rsid w:val="004E67D1"/>
    <w:rsid w:val="004E69E0"/>
    <w:rsid w:val="004E6F6E"/>
    <w:rsid w:val="004E75F6"/>
    <w:rsid w:val="004F0008"/>
    <w:rsid w:val="004F0032"/>
    <w:rsid w:val="004F0B9A"/>
    <w:rsid w:val="004F1627"/>
    <w:rsid w:val="004F21F5"/>
    <w:rsid w:val="004F232C"/>
    <w:rsid w:val="004F26FB"/>
    <w:rsid w:val="004F29BF"/>
    <w:rsid w:val="004F2DF5"/>
    <w:rsid w:val="004F2E22"/>
    <w:rsid w:val="004F2E36"/>
    <w:rsid w:val="004F43C7"/>
    <w:rsid w:val="004F5247"/>
    <w:rsid w:val="004F5B85"/>
    <w:rsid w:val="004F5E53"/>
    <w:rsid w:val="004F6158"/>
    <w:rsid w:val="004F6250"/>
    <w:rsid w:val="004F6544"/>
    <w:rsid w:val="004F665B"/>
    <w:rsid w:val="004F6F16"/>
    <w:rsid w:val="004F71AD"/>
    <w:rsid w:val="004F75EF"/>
    <w:rsid w:val="004F7756"/>
    <w:rsid w:val="004F7C93"/>
    <w:rsid w:val="004F7EA7"/>
    <w:rsid w:val="00500258"/>
    <w:rsid w:val="00500C25"/>
    <w:rsid w:val="00500D3E"/>
    <w:rsid w:val="005016AE"/>
    <w:rsid w:val="00501C69"/>
    <w:rsid w:val="00501F38"/>
    <w:rsid w:val="0050206D"/>
    <w:rsid w:val="00502091"/>
    <w:rsid w:val="00502796"/>
    <w:rsid w:val="00502C48"/>
    <w:rsid w:val="00503215"/>
    <w:rsid w:val="00503373"/>
    <w:rsid w:val="00503934"/>
    <w:rsid w:val="00503D82"/>
    <w:rsid w:val="00503F5E"/>
    <w:rsid w:val="00503FB4"/>
    <w:rsid w:val="005040C2"/>
    <w:rsid w:val="0050462F"/>
    <w:rsid w:val="00504987"/>
    <w:rsid w:val="00505415"/>
    <w:rsid w:val="00505460"/>
    <w:rsid w:val="00506105"/>
    <w:rsid w:val="005064DB"/>
    <w:rsid w:val="005067AF"/>
    <w:rsid w:val="00506931"/>
    <w:rsid w:val="00506CFF"/>
    <w:rsid w:val="00506FD1"/>
    <w:rsid w:val="00507232"/>
    <w:rsid w:val="00507563"/>
    <w:rsid w:val="00507B7E"/>
    <w:rsid w:val="005104A6"/>
    <w:rsid w:val="005107AE"/>
    <w:rsid w:val="005109A7"/>
    <w:rsid w:val="00510DCC"/>
    <w:rsid w:val="00510EEA"/>
    <w:rsid w:val="0051114F"/>
    <w:rsid w:val="0051124C"/>
    <w:rsid w:val="0051140E"/>
    <w:rsid w:val="0051171F"/>
    <w:rsid w:val="00511CA0"/>
    <w:rsid w:val="00511D5B"/>
    <w:rsid w:val="00511D94"/>
    <w:rsid w:val="005124D7"/>
    <w:rsid w:val="00512856"/>
    <w:rsid w:val="00512C56"/>
    <w:rsid w:val="00512D2E"/>
    <w:rsid w:val="00513162"/>
    <w:rsid w:val="00513B14"/>
    <w:rsid w:val="00513C54"/>
    <w:rsid w:val="0051430C"/>
    <w:rsid w:val="00514548"/>
    <w:rsid w:val="005147A2"/>
    <w:rsid w:val="005153F6"/>
    <w:rsid w:val="005157DB"/>
    <w:rsid w:val="00515A06"/>
    <w:rsid w:val="00516101"/>
    <w:rsid w:val="0051696F"/>
    <w:rsid w:val="00516B03"/>
    <w:rsid w:val="00516CAF"/>
    <w:rsid w:val="00516D10"/>
    <w:rsid w:val="005171A1"/>
    <w:rsid w:val="0051736D"/>
    <w:rsid w:val="0052035F"/>
    <w:rsid w:val="00520A3B"/>
    <w:rsid w:val="00520B3D"/>
    <w:rsid w:val="00520D4E"/>
    <w:rsid w:val="00520E80"/>
    <w:rsid w:val="00521243"/>
    <w:rsid w:val="005212FE"/>
    <w:rsid w:val="00521555"/>
    <w:rsid w:val="00521853"/>
    <w:rsid w:val="00521960"/>
    <w:rsid w:val="00521CE7"/>
    <w:rsid w:val="00521CF3"/>
    <w:rsid w:val="005222F0"/>
    <w:rsid w:val="00522C4A"/>
    <w:rsid w:val="00523064"/>
    <w:rsid w:val="00523691"/>
    <w:rsid w:val="00523F1D"/>
    <w:rsid w:val="005247B3"/>
    <w:rsid w:val="00524C82"/>
    <w:rsid w:val="00525809"/>
    <w:rsid w:val="005264B6"/>
    <w:rsid w:val="0052666E"/>
    <w:rsid w:val="005267F6"/>
    <w:rsid w:val="005269D3"/>
    <w:rsid w:val="00526B08"/>
    <w:rsid w:val="00526DF3"/>
    <w:rsid w:val="00526E8A"/>
    <w:rsid w:val="0052716B"/>
    <w:rsid w:val="00527BDA"/>
    <w:rsid w:val="00527EAA"/>
    <w:rsid w:val="00530734"/>
    <w:rsid w:val="005314C6"/>
    <w:rsid w:val="00531715"/>
    <w:rsid w:val="005319F3"/>
    <w:rsid w:val="005321EE"/>
    <w:rsid w:val="00532C9E"/>
    <w:rsid w:val="00532DF2"/>
    <w:rsid w:val="00534072"/>
    <w:rsid w:val="00534307"/>
    <w:rsid w:val="005343CA"/>
    <w:rsid w:val="0053502C"/>
    <w:rsid w:val="00535130"/>
    <w:rsid w:val="005354A6"/>
    <w:rsid w:val="00536006"/>
    <w:rsid w:val="0053606A"/>
    <w:rsid w:val="00536094"/>
    <w:rsid w:val="00536756"/>
    <w:rsid w:val="00537302"/>
    <w:rsid w:val="0053738C"/>
    <w:rsid w:val="005400A0"/>
    <w:rsid w:val="0054038F"/>
    <w:rsid w:val="005406FC"/>
    <w:rsid w:val="005416F8"/>
    <w:rsid w:val="005418C4"/>
    <w:rsid w:val="00541928"/>
    <w:rsid w:val="00541B11"/>
    <w:rsid w:val="00541BD3"/>
    <w:rsid w:val="00542901"/>
    <w:rsid w:val="00542B93"/>
    <w:rsid w:val="00542D3C"/>
    <w:rsid w:val="00543952"/>
    <w:rsid w:val="005441BD"/>
    <w:rsid w:val="00544559"/>
    <w:rsid w:val="005445A7"/>
    <w:rsid w:val="00545D1F"/>
    <w:rsid w:val="00545D3E"/>
    <w:rsid w:val="005466D8"/>
    <w:rsid w:val="00547220"/>
    <w:rsid w:val="0054780C"/>
    <w:rsid w:val="00547848"/>
    <w:rsid w:val="00550386"/>
    <w:rsid w:val="005505A6"/>
    <w:rsid w:val="005508CB"/>
    <w:rsid w:val="00550BC7"/>
    <w:rsid w:val="00551347"/>
    <w:rsid w:val="00551473"/>
    <w:rsid w:val="00551B33"/>
    <w:rsid w:val="00551F13"/>
    <w:rsid w:val="00551FFD"/>
    <w:rsid w:val="00552411"/>
    <w:rsid w:val="0055261D"/>
    <w:rsid w:val="00552C42"/>
    <w:rsid w:val="00553358"/>
    <w:rsid w:val="0055345C"/>
    <w:rsid w:val="00553AB5"/>
    <w:rsid w:val="00553F16"/>
    <w:rsid w:val="005543D1"/>
    <w:rsid w:val="00554573"/>
    <w:rsid w:val="0055473D"/>
    <w:rsid w:val="005549A3"/>
    <w:rsid w:val="00554DB2"/>
    <w:rsid w:val="00554DEF"/>
    <w:rsid w:val="00554EF2"/>
    <w:rsid w:val="00555509"/>
    <w:rsid w:val="00555940"/>
    <w:rsid w:val="00555B02"/>
    <w:rsid w:val="00556BF4"/>
    <w:rsid w:val="00557083"/>
    <w:rsid w:val="0055747D"/>
    <w:rsid w:val="0055757B"/>
    <w:rsid w:val="00557A22"/>
    <w:rsid w:val="00557A74"/>
    <w:rsid w:val="00560102"/>
    <w:rsid w:val="00560605"/>
    <w:rsid w:val="00560876"/>
    <w:rsid w:val="00560953"/>
    <w:rsid w:val="00560F74"/>
    <w:rsid w:val="00561066"/>
    <w:rsid w:val="00561476"/>
    <w:rsid w:val="00561912"/>
    <w:rsid w:val="00561C5B"/>
    <w:rsid w:val="005621C9"/>
    <w:rsid w:val="005622BB"/>
    <w:rsid w:val="005639E3"/>
    <w:rsid w:val="00563BD9"/>
    <w:rsid w:val="00563D61"/>
    <w:rsid w:val="0056438B"/>
    <w:rsid w:val="005644D4"/>
    <w:rsid w:val="00564F2D"/>
    <w:rsid w:val="005650B9"/>
    <w:rsid w:val="005653E1"/>
    <w:rsid w:val="005654ED"/>
    <w:rsid w:val="0056594C"/>
    <w:rsid w:val="005661FF"/>
    <w:rsid w:val="00566357"/>
    <w:rsid w:val="005664A2"/>
    <w:rsid w:val="00566CDA"/>
    <w:rsid w:val="0056727E"/>
    <w:rsid w:val="00567468"/>
    <w:rsid w:val="00567490"/>
    <w:rsid w:val="00567BA6"/>
    <w:rsid w:val="00567DBA"/>
    <w:rsid w:val="00570033"/>
    <w:rsid w:val="00570147"/>
    <w:rsid w:val="00570247"/>
    <w:rsid w:val="00570477"/>
    <w:rsid w:val="005706FB"/>
    <w:rsid w:val="005709EF"/>
    <w:rsid w:val="0057103C"/>
    <w:rsid w:val="005713D3"/>
    <w:rsid w:val="005716D8"/>
    <w:rsid w:val="0057182B"/>
    <w:rsid w:val="00571E23"/>
    <w:rsid w:val="00572942"/>
    <w:rsid w:val="00572BC0"/>
    <w:rsid w:val="0057307E"/>
    <w:rsid w:val="005737D4"/>
    <w:rsid w:val="005737FF"/>
    <w:rsid w:val="00573955"/>
    <w:rsid w:val="00573A4C"/>
    <w:rsid w:val="00573DBE"/>
    <w:rsid w:val="00573FFA"/>
    <w:rsid w:val="0057405B"/>
    <w:rsid w:val="005749CE"/>
    <w:rsid w:val="00574A3D"/>
    <w:rsid w:val="00574A77"/>
    <w:rsid w:val="00574B79"/>
    <w:rsid w:val="00574C2D"/>
    <w:rsid w:val="00574D12"/>
    <w:rsid w:val="00575B42"/>
    <w:rsid w:val="00576223"/>
    <w:rsid w:val="00576345"/>
    <w:rsid w:val="005763F6"/>
    <w:rsid w:val="00576545"/>
    <w:rsid w:val="005765CA"/>
    <w:rsid w:val="005766B7"/>
    <w:rsid w:val="005768A2"/>
    <w:rsid w:val="00577A7F"/>
    <w:rsid w:val="00577F7E"/>
    <w:rsid w:val="005800B4"/>
    <w:rsid w:val="00580436"/>
    <w:rsid w:val="0058052A"/>
    <w:rsid w:val="0058070B"/>
    <w:rsid w:val="00580AE0"/>
    <w:rsid w:val="00581068"/>
    <w:rsid w:val="0058131B"/>
    <w:rsid w:val="005818D3"/>
    <w:rsid w:val="00581E91"/>
    <w:rsid w:val="00581F55"/>
    <w:rsid w:val="005820DA"/>
    <w:rsid w:val="0058296F"/>
    <w:rsid w:val="005829E5"/>
    <w:rsid w:val="00582A73"/>
    <w:rsid w:val="00582B04"/>
    <w:rsid w:val="00582B1E"/>
    <w:rsid w:val="00582BC4"/>
    <w:rsid w:val="00583104"/>
    <w:rsid w:val="00583D35"/>
    <w:rsid w:val="00584013"/>
    <w:rsid w:val="005841C2"/>
    <w:rsid w:val="0058463B"/>
    <w:rsid w:val="005846EA"/>
    <w:rsid w:val="00584A8A"/>
    <w:rsid w:val="00584E9D"/>
    <w:rsid w:val="00584E9F"/>
    <w:rsid w:val="00585263"/>
    <w:rsid w:val="005852E0"/>
    <w:rsid w:val="005856AB"/>
    <w:rsid w:val="00585BD7"/>
    <w:rsid w:val="005860E6"/>
    <w:rsid w:val="00586197"/>
    <w:rsid w:val="00586A16"/>
    <w:rsid w:val="00586CD1"/>
    <w:rsid w:val="0058715A"/>
    <w:rsid w:val="00587AC6"/>
    <w:rsid w:val="005905D7"/>
    <w:rsid w:val="005908A8"/>
    <w:rsid w:val="00590C2C"/>
    <w:rsid w:val="00590D7F"/>
    <w:rsid w:val="0059113E"/>
    <w:rsid w:val="005915BF"/>
    <w:rsid w:val="00591841"/>
    <w:rsid w:val="00592917"/>
    <w:rsid w:val="00593ABE"/>
    <w:rsid w:val="00593DCC"/>
    <w:rsid w:val="005942EE"/>
    <w:rsid w:val="00594D2B"/>
    <w:rsid w:val="005957C8"/>
    <w:rsid w:val="00595E80"/>
    <w:rsid w:val="005963E0"/>
    <w:rsid w:val="0059650E"/>
    <w:rsid w:val="005966CB"/>
    <w:rsid w:val="00596953"/>
    <w:rsid w:val="00596ABB"/>
    <w:rsid w:val="00596AF4"/>
    <w:rsid w:val="005970E3"/>
    <w:rsid w:val="0059719E"/>
    <w:rsid w:val="005973F2"/>
    <w:rsid w:val="005978EC"/>
    <w:rsid w:val="00597A0B"/>
    <w:rsid w:val="00597F7B"/>
    <w:rsid w:val="005A01ED"/>
    <w:rsid w:val="005A1493"/>
    <w:rsid w:val="005A1B1F"/>
    <w:rsid w:val="005A1D37"/>
    <w:rsid w:val="005A1E20"/>
    <w:rsid w:val="005A1E86"/>
    <w:rsid w:val="005A247A"/>
    <w:rsid w:val="005A3474"/>
    <w:rsid w:val="005A3575"/>
    <w:rsid w:val="005A3912"/>
    <w:rsid w:val="005A3B89"/>
    <w:rsid w:val="005A3F18"/>
    <w:rsid w:val="005A444D"/>
    <w:rsid w:val="005A4C85"/>
    <w:rsid w:val="005A4EA4"/>
    <w:rsid w:val="005A4F40"/>
    <w:rsid w:val="005A581C"/>
    <w:rsid w:val="005A5CFB"/>
    <w:rsid w:val="005A5D7D"/>
    <w:rsid w:val="005A5FBA"/>
    <w:rsid w:val="005A6030"/>
    <w:rsid w:val="005A66C3"/>
    <w:rsid w:val="005A6930"/>
    <w:rsid w:val="005A6970"/>
    <w:rsid w:val="005A7191"/>
    <w:rsid w:val="005A7AF5"/>
    <w:rsid w:val="005B008A"/>
    <w:rsid w:val="005B04B8"/>
    <w:rsid w:val="005B06E4"/>
    <w:rsid w:val="005B0711"/>
    <w:rsid w:val="005B1530"/>
    <w:rsid w:val="005B29CF"/>
    <w:rsid w:val="005B340D"/>
    <w:rsid w:val="005B398D"/>
    <w:rsid w:val="005B4014"/>
    <w:rsid w:val="005B4182"/>
    <w:rsid w:val="005B4218"/>
    <w:rsid w:val="005B46EA"/>
    <w:rsid w:val="005B4F60"/>
    <w:rsid w:val="005B53B1"/>
    <w:rsid w:val="005B57AD"/>
    <w:rsid w:val="005B58A0"/>
    <w:rsid w:val="005B5F2B"/>
    <w:rsid w:val="005B62EF"/>
    <w:rsid w:val="005B69EE"/>
    <w:rsid w:val="005B6A82"/>
    <w:rsid w:val="005B6D8A"/>
    <w:rsid w:val="005B7012"/>
    <w:rsid w:val="005B70AB"/>
    <w:rsid w:val="005B722E"/>
    <w:rsid w:val="005B7996"/>
    <w:rsid w:val="005C02FE"/>
    <w:rsid w:val="005C03BB"/>
    <w:rsid w:val="005C04D1"/>
    <w:rsid w:val="005C0D9E"/>
    <w:rsid w:val="005C10A1"/>
    <w:rsid w:val="005C1397"/>
    <w:rsid w:val="005C13DE"/>
    <w:rsid w:val="005C1432"/>
    <w:rsid w:val="005C1A34"/>
    <w:rsid w:val="005C2285"/>
    <w:rsid w:val="005C2A20"/>
    <w:rsid w:val="005C3046"/>
    <w:rsid w:val="005C31ED"/>
    <w:rsid w:val="005C37EB"/>
    <w:rsid w:val="005C3D45"/>
    <w:rsid w:val="005C40B1"/>
    <w:rsid w:val="005C42E7"/>
    <w:rsid w:val="005C4B48"/>
    <w:rsid w:val="005C50AC"/>
    <w:rsid w:val="005C5279"/>
    <w:rsid w:val="005C540E"/>
    <w:rsid w:val="005C54EE"/>
    <w:rsid w:val="005C5534"/>
    <w:rsid w:val="005C5878"/>
    <w:rsid w:val="005C5D66"/>
    <w:rsid w:val="005C605B"/>
    <w:rsid w:val="005C622C"/>
    <w:rsid w:val="005C6406"/>
    <w:rsid w:val="005C6601"/>
    <w:rsid w:val="005C6F22"/>
    <w:rsid w:val="005D00E4"/>
    <w:rsid w:val="005D019A"/>
    <w:rsid w:val="005D0E6A"/>
    <w:rsid w:val="005D16DB"/>
    <w:rsid w:val="005D2476"/>
    <w:rsid w:val="005D2737"/>
    <w:rsid w:val="005D2DFA"/>
    <w:rsid w:val="005D2F96"/>
    <w:rsid w:val="005D3573"/>
    <w:rsid w:val="005D3D24"/>
    <w:rsid w:val="005D42C4"/>
    <w:rsid w:val="005D4B8A"/>
    <w:rsid w:val="005D5893"/>
    <w:rsid w:val="005D5CA8"/>
    <w:rsid w:val="005D5DBB"/>
    <w:rsid w:val="005D5F03"/>
    <w:rsid w:val="005D6093"/>
    <w:rsid w:val="005D685E"/>
    <w:rsid w:val="005D69D1"/>
    <w:rsid w:val="005D6CDF"/>
    <w:rsid w:val="005D73DA"/>
    <w:rsid w:val="005D756A"/>
    <w:rsid w:val="005D75A2"/>
    <w:rsid w:val="005E0239"/>
    <w:rsid w:val="005E0312"/>
    <w:rsid w:val="005E0FD5"/>
    <w:rsid w:val="005E15C7"/>
    <w:rsid w:val="005E1ECC"/>
    <w:rsid w:val="005E210D"/>
    <w:rsid w:val="005E268B"/>
    <w:rsid w:val="005E29BE"/>
    <w:rsid w:val="005E2C55"/>
    <w:rsid w:val="005E3415"/>
    <w:rsid w:val="005E359F"/>
    <w:rsid w:val="005E3ACC"/>
    <w:rsid w:val="005E3B85"/>
    <w:rsid w:val="005E3C01"/>
    <w:rsid w:val="005E3F65"/>
    <w:rsid w:val="005E4625"/>
    <w:rsid w:val="005E4833"/>
    <w:rsid w:val="005E4A35"/>
    <w:rsid w:val="005E4A46"/>
    <w:rsid w:val="005E50E5"/>
    <w:rsid w:val="005E5696"/>
    <w:rsid w:val="005E5745"/>
    <w:rsid w:val="005E5C29"/>
    <w:rsid w:val="005E5FA1"/>
    <w:rsid w:val="005E604F"/>
    <w:rsid w:val="005E6C46"/>
    <w:rsid w:val="005E700E"/>
    <w:rsid w:val="005E72C5"/>
    <w:rsid w:val="005E7621"/>
    <w:rsid w:val="005E77E2"/>
    <w:rsid w:val="005E7981"/>
    <w:rsid w:val="005F0B79"/>
    <w:rsid w:val="005F0BEA"/>
    <w:rsid w:val="005F0C3C"/>
    <w:rsid w:val="005F1029"/>
    <w:rsid w:val="005F1131"/>
    <w:rsid w:val="005F20DF"/>
    <w:rsid w:val="005F2288"/>
    <w:rsid w:val="005F2425"/>
    <w:rsid w:val="005F3824"/>
    <w:rsid w:val="005F38E3"/>
    <w:rsid w:val="005F396B"/>
    <w:rsid w:val="005F3AF4"/>
    <w:rsid w:val="005F3B14"/>
    <w:rsid w:val="005F4093"/>
    <w:rsid w:val="005F41D1"/>
    <w:rsid w:val="005F42B0"/>
    <w:rsid w:val="005F4340"/>
    <w:rsid w:val="005F44E9"/>
    <w:rsid w:val="005F465D"/>
    <w:rsid w:val="005F4BD8"/>
    <w:rsid w:val="005F4E13"/>
    <w:rsid w:val="005F57C9"/>
    <w:rsid w:val="005F57D4"/>
    <w:rsid w:val="005F588A"/>
    <w:rsid w:val="005F5EC7"/>
    <w:rsid w:val="005F619C"/>
    <w:rsid w:val="005F6437"/>
    <w:rsid w:val="005F689F"/>
    <w:rsid w:val="005F6F47"/>
    <w:rsid w:val="005F6F57"/>
    <w:rsid w:val="005F7207"/>
    <w:rsid w:val="005F77CD"/>
    <w:rsid w:val="005F7FCF"/>
    <w:rsid w:val="00600704"/>
    <w:rsid w:val="006009AC"/>
    <w:rsid w:val="00600BB3"/>
    <w:rsid w:val="00601E67"/>
    <w:rsid w:val="006021E4"/>
    <w:rsid w:val="00602852"/>
    <w:rsid w:val="00603E7D"/>
    <w:rsid w:val="0060441B"/>
    <w:rsid w:val="00604551"/>
    <w:rsid w:val="006048DA"/>
    <w:rsid w:val="00604AA1"/>
    <w:rsid w:val="00604BDA"/>
    <w:rsid w:val="00604E0E"/>
    <w:rsid w:val="006052A4"/>
    <w:rsid w:val="00605873"/>
    <w:rsid w:val="00605B18"/>
    <w:rsid w:val="00605EA2"/>
    <w:rsid w:val="006066DF"/>
    <w:rsid w:val="006075FD"/>
    <w:rsid w:val="00607691"/>
    <w:rsid w:val="0060775E"/>
    <w:rsid w:val="00607A36"/>
    <w:rsid w:val="0061062C"/>
    <w:rsid w:val="00610FAB"/>
    <w:rsid w:val="00611120"/>
    <w:rsid w:val="006117ED"/>
    <w:rsid w:val="006119B4"/>
    <w:rsid w:val="006119E4"/>
    <w:rsid w:val="00611EA9"/>
    <w:rsid w:val="00611F45"/>
    <w:rsid w:val="00612305"/>
    <w:rsid w:val="00612A48"/>
    <w:rsid w:val="00613183"/>
    <w:rsid w:val="006133F0"/>
    <w:rsid w:val="0061344D"/>
    <w:rsid w:val="00613D2A"/>
    <w:rsid w:val="006142B5"/>
    <w:rsid w:val="006145B6"/>
    <w:rsid w:val="00614808"/>
    <w:rsid w:val="00614847"/>
    <w:rsid w:val="006151BD"/>
    <w:rsid w:val="00615496"/>
    <w:rsid w:val="00615F5A"/>
    <w:rsid w:val="00616107"/>
    <w:rsid w:val="00616378"/>
    <w:rsid w:val="00616543"/>
    <w:rsid w:val="00616674"/>
    <w:rsid w:val="00616888"/>
    <w:rsid w:val="00616B28"/>
    <w:rsid w:val="00617121"/>
    <w:rsid w:val="006174D6"/>
    <w:rsid w:val="006176BE"/>
    <w:rsid w:val="00617925"/>
    <w:rsid w:val="00617996"/>
    <w:rsid w:val="006206DD"/>
    <w:rsid w:val="0062072C"/>
    <w:rsid w:val="00620854"/>
    <w:rsid w:val="006208EB"/>
    <w:rsid w:val="006212CB"/>
    <w:rsid w:val="0062189D"/>
    <w:rsid w:val="00621999"/>
    <w:rsid w:val="00621AFC"/>
    <w:rsid w:val="00621F90"/>
    <w:rsid w:val="00622579"/>
    <w:rsid w:val="00622906"/>
    <w:rsid w:val="00622A58"/>
    <w:rsid w:val="00622CC9"/>
    <w:rsid w:val="006231B5"/>
    <w:rsid w:val="0062358E"/>
    <w:rsid w:val="006237CA"/>
    <w:rsid w:val="00623E93"/>
    <w:rsid w:val="00623ED2"/>
    <w:rsid w:val="0062434B"/>
    <w:rsid w:val="00624EF3"/>
    <w:rsid w:val="00624FCE"/>
    <w:rsid w:val="006256FE"/>
    <w:rsid w:val="00625BED"/>
    <w:rsid w:val="00625C9E"/>
    <w:rsid w:val="00625FB8"/>
    <w:rsid w:val="00626387"/>
    <w:rsid w:val="00626A1C"/>
    <w:rsid w:val="00626EF0"/>
    <w:rsid w:val="00626F03"/>
    <w:rsid w:val="00627202"/>
    <w:rsid w:val="006272A9"/>
    <w:rsid w:val="006273DC"/>
    <w:rsid w:val="006276DF"/>
    <w:rsid w:val="006279F9"/>
    <w:rsid w:val="006315FC"/>
    <w:rsid w:val="00631651"/>
    <w:rsid w:val="00631A34"/>
    <w:rsid w:val="00631A7D"/>
    <w:rsid w:val="00631AD1"/>
    <w:rsid w:val="00631AFF"/>
    <w:rsid w:val="00631DEF"/>
    <w:rsid w:val="00632833"/>
    <w:rsid w:val="00632B3A"/>
    <w:rsid w:val="00632B92"/>
    <w:rsid w:val="00632FA3"/>
    <w:rsid w:val="006330E5"/>
    <w:rsid w:val="0063336B"/>
    <w:rsid w:val="00633401"/>
    <w:rsid w:val="0063344E"/>
    <w:rsid w:val="00633D2F"/>
    <w:rsid w:val="0063539D"/>
    <w:rsid w:val="00635D48"/>
    <w:rsid w:val="00635E7C"/>
    <w:rsid w:val="00635ED5"/>
    <w:rsid w:val="00635F9D"/>
    <w:rsid w:val="00636068"/>
    <w:rsid w:val="00636678"/>
    <w:rsid w:val="00636734"/>
    <w:rsid w:val="006369EE"/>
    <w:rsid w:val="00636DAD"/>
    <w:rsid w:val="00637513"/>
    <w:rsid w:val="006375E2"/>
    <w:rsid w:val="006376AE"/>
    <w:rsid w:val="006376E1"/>
    <w:rsid w:val="00637847"/>
    <w:rsid w:val="00637EA9"/>
    <w:rsid w:val="00637ED1"/>
    <w:rsid w:val="00640868"/>
    <w:rsid w:val="00640D8F"/>
    <w:rsid w:val="00641720"/>
    <w:rsid w:val="006420DA"/>
    <w:rsid w:val="006425A2"/>
    <w:rsid w:val="00642E55"/>
    <w:rsid w:val="00642F84"/>
    <w:rsid w:val="00642FF1"/>
    <w:rsid w:val="00643036"/>
    <w:rsid w:val="006431B3"/>
    <w:rsid w:val="00643411"/>
    <w:rsid w:val="006436BC"/>
    <w:rsid w:val="00643B3C"/>
    <w:rsid w:val="00643E90"/>
    <w:rsid w:val="00643EB3"/>
    <w:rsid w:val="00644D22"/>
    <w:rsid w:val="00644EC5"/>
    <w:rsid w:val="0064504E"/>
    <w:rsid w:val="006455AC"/>
    <w:rsid w:val="00645B37"/>
    <w:rsid w:val="006466A1"/>
    <w:rsid w:val="0064700E"/>
    <w:rsid w:val="006470BA"/>
    <w:rsid w:val="00647F59"/>
    <w:rsid w:val="00650677"/>
    <w:rsid w:val="00650F41"/>
    <w:rsid w:val="00651554"/>
    <w:rsid w:val="0065167D"/>
    <w:rsid w:val="00651800"/>
    <w:rsid w:val="0065254B"/>
    <w:rsid w:val="00652A2A"/>
    <w:rsid w:val="006535AB"/>
    <w:rsid w:val="006537D2"/>
    <w:rsid w:val="00653916"/>
    <w:rsid w:val="00653AB2"/>
    <w:rsid w:val="00654026"/>
    <w:rsid w:val="00654B00"/>
    <w:rsid w:val="00654B62"/>
    <w:rsid w:val="006554BE"/>
    <w:rsid w:val="00655785"/>
    <w:rsid w:val="00655C25"/>
    <w:rsid w:val="006560A7"/>
    <w:rsid w:val="006560B9"/>
    <w:rsid w:val="006564E4"/>
    <w:rsid w:val="00656DA6"/>
    <w:rsid w:val="0065704C"/>
    <w:rsid w:val="006574D4"/>
    <w:rsid w:val="00657513"/>
    <w:rsid w:val="00657660"/>
    <w:rsid w:val="006577E9"/>
    <w:rsid w:val="00657A5A"/>
    <w:rsid w:val="00657BDD"/>
    <w:rsid w:val="0066012B"/>
    <w:rsid w:val="006602FF"/>
    <w:rsid w:val="0066038E"/>
    <w:rsid w:val="00660858"/>
    <w:rsid w:val="006609E6"/>
    <w:rsid w:val="00660E51"/>
    <w:rsid w:val="00660F67"/>
    <w:rsid w:val="00661001"/>
    <w:rsid w:val="0066132D"/>
    <w:rsid w:val="006616A1"/>
    <w:rsid w:val="00661EBB"/>
    <w:rsid w:val="006633DE"/>
    <w:rsid w:val="00663B14"/>
    <w:rsid w:val="00663B71"/>
    <w:rsid w:val="00663D56"/>
    <w:rsid w:val="00663E87"/>
    <w:rsid w:val="0066463C"/>
    <w:rsid w:val="00664EDC"/>
    <w:rsid w:val="00665244"/>
    <w:rsid w:val="0066543A"/>
    <w:rsid w:val="00665449"/>
    <w:rsid w:val="00665759"/>
    <w:rsid w:val="00665B8E"/>
    <w:rsid w:val="00665D56"/>
    <w:rsid w:val="00665F2E"/>
    <w:rsid w:val="00666D69"/>
    <w:rsid w:val="00666F76"/>
    <w:rsid w:val="006672FC"/>
    <w:rsid w:val="0066770A"/>
    <w:rsid w:val="006678EC"/>
    <w:rsid w:val="00667A48"/>
    <w:rsid w:val="00667AA8"/>
    <w:rsid w:val="00667BDF"/>
    <w:rsid w:val="00667D3D"/>
    <w:rsid w:val="00671BAC"/>
    <w:rsid w:val="00671C62"/>
    <w:rsid w:val="0067223F"/>
    <w:rsid w:val="00672249"/>
    <w:rsid w:val="00672432"/>
    <w:rsid w:val="00672837"/>
    <w:rsid w:val="00672B25"/>
    <w:rsid w:val="00672D15"/>
    <w:rsid w:val="00672DDC"/>
    <w:rsid w:val="00673600"/>
    <w:rsid w:val="006736A9"/>
    <w:rsid w:val="006739D2"/>
    <w:rsid w:val="00673BC7"/>
    <w:rsid w:val="00673DDB"/>
    <w:rsid w:val="0067400E"/>
    <w:rsid w:val="006743EE"/>
    <w:rsid w:val="006746D9"/>
    <w:rsid w:val="00674975"/>
    <w:rsid w:val="00674E07"/>
    <w:rsid w:val="00674E46"/>
    <w:rsid w:val="00675C7A"/>
    <w:rsid w:val="00675D39"/>
    <w:rsid w:val="006764BF"/>
    <w:rsid w:val="006766C5"/>
    <w:rsid w:val="006766EC"/>
    <w:rsid w:val="00676743"/>
    <w:rsid w:val="00676948"/>
    <w:rsid w:val="00677F3C"/>
    <w:rsid w:val="00677FCC"/>
    <w:rsid w:val="006801FA"/>
    <w:rsid w:val="00680576"/>
    <w:rsid w:val="00680C2D"/>
    <w:rsid w:val="00680DE6"/>
    <w:rsid w:val="006813C0"/>
    <w:rsid w:val="00681727"/>
    <w:rsid w:val="00681D67"/>
    <w:rsid w:val="00682425"/>
    <w:rsid w:val="00682597"/>
    <w:rsid w:val="00682C98"/>
    <w:rsid w:val="00683A12"/>
    <w:rsid w:val="00683E17"/>
    <w:rsid w:val="006847FA"/>
    <w:rsid w:val="0068518B"/>
    <w:rsid w:val="0068560B"/>
    <w:rsid w:val="0068562B"/>
    <w:rsid w:val="006856C3"/>
    <w:rsid w:val="006856E7"/>
    <w:rsid w:val="00685F55"/>
    <w:rsid w:val="00686E1A"/>
    <w:rsid w:val="00687236"/>
    <w:rsid w:val="0068740F"/>
    <w:rsid w:val="0068766E"/>
    <w:rsid w:val="00687C31"/>
    <w:rsid w:val="00690667"/>
    <w:rsid w:val="00691574"/>
    <w:rsid w:val="00691E12"/>
    <w:rsid w:val="0069274F"/>
    <w:rsid w:val="00692A67"/>
    <w:rsid w:val="00692DFC"/>
    <w:rsid w:val="00693129"/>
    <w:rsid w:val="00693408"/>
    <w:rsid w:val="00694003"/>
    <w:rsid w:val="006942A0"/>
    <w:rsid w:val="006943F0"/>
    <w:rsid w:val="0069464C"/>
    <w:rsid w:val="006947A1"/>
    <w:rsid w:val="00694BB0"/>
    <w:rsid w:val="00694C96"/>
    <w:rsid w:val="00694FCD"/>
    <w:rsid w:val="00696307"/>
    <w:rsid w:val="006968C0"/>
    <w:rsid w:val="006979F4"/>
    <w:rsid w:val="00697F96"/>
    <w:rsid w:val="006A0DA0"/>
    <w:rsid w:val="006A0DC5"/>
    <w:rsid w:val="006A0DED"/>
    <w:rsid w:val="006A1277"/>
    <w:rsid w:val="006A2227"/>
    <w:rsid w:val="006A230A"/>
    <w:rsid w:val="006A2602"/>
    <w:rsid w:val="006A2986"/>
    <w:rsid w:val="006A2D41"/>
    <w:rsid w:val="006A2D52"/>
    <w:rsid w:val="006A314F"/>
    <w:rsid w:val="006A3173"/>
    <w:rsid w:val="006A3D16"/>
    <w:rsid w:val="006A4C75"/>
    <w:rsid w:val="006A4EE1"/>
    <w:rsid w:val="006A5A62"/>
    <w:rsid w:val="006A5B1A"/>
    <w:rsid w:val="006A5B2E"/>
    <w:rsid w:val="006A62C0"/>
    <w:rsid w:val="006A6424"/>
    <w:rsid w:val="006A6480"/>
    <w:rsid w:val="006A67D3"/>
    <w:rsid w:val="006A67E1"/>
    <w:rsid w:val="006A6928"/>
    <w:rsid w:val="006A6FB3"/>
    <w:rsid w:val="006A77A2"/>
    <w:rsid w:val="006B019B"/>
    <w:rsid w:val="006B0FDB"/>
    <w:rsid w:val="006B10F5"/>
    <w:rsid w:val="006B1754"/>
    <w:rsid w:val="006B1A7D"/>
    <w:rsid w:val="006B1A80"/>
    <w:rsid w:val="006B1C05"/>
    <w:rsid w:val="006B2C09"/>
    <w:rsid w:val="006B3080"/>
    <w:rsid w:val="006B315D"/>
    <w:rsid w:val="006B31BF"/>
    <w:rsid w:val="006B3501"/>
    <w:rsid w:val="006B394C"/>
    <w:rsid w:val="006B51AD"/>
    <w:rsid w:val="006B5211"/>
    <w:rsid w:val="006B52F9"/>
    <w:rsid w:val="006B5BE9"/>
    <w:rsid w:val="006B5F67"/>
    <w:rsid w:val="006B61B5"/>
    <w:rsid w:val="006B6685"/>
    <w:rsid w:val="006B69E5"/>
    <w:rsid w:val="006B6EF9"/>
    <w:rsid w:val="006B75FC"/>
    <w:rsid w:val="006B779A"/>
    <w:rsid w:val="006C00D0"/>
    <w:rsid w:val="006C00F5"/>
    <w:rsid w:val="006C09ED"/>
    <w:rsid w:val="006C0C65"/>
    <w:rsid w:val="006C1091"/>
    <w:rsid w:val="006C1403"/>
    <w:rsid w:val="006C155B"/>
    <w:rsid w:val="006C1AC7"/>
    <w:rsid w:val="006C1D2B"/>
    <w:rsid w:val="006C2700"/>
    <w:rsid w:val="006C2717"/>
    <w:rsid w:val="006C2C26"/>
    <w:rsid w:val="006C2DBB"/>
    <w:rsid w:val="006C35E7"/>
    <w:rsid w:val="006C36FB"/>
    <w:rsid w:val="006C3795"/>
    <w:rsid w:val="006C42CB"/>
    <w:rsid w:val="006C467D"/>
    <w:rsid w:val="006C4AA0"/>
    <w:rsid w:val="006C4FBF"/>
    <w:rsid w:val="006C51EF"/>
    <w:rsid w:val="006C57CB"/>
    <w:rsid w:val="006C63E3"/>
    <w:rsid w:val="006C679F"/>
    <w:rsid w:val="006C67B0"/>
    <w:rsid w:val="006C6892"/>
    <w:rsid w:val="006C75E4"/>
    <w:rsid w:val="006C7D62"/>
    <w:rsid w:val="006C7DA9"/>
    <w:rsid w:val="006C7E9D"/>
    <w:rsid w:val="006D02DA"/>
    <w:rsid w:val="006D06C1"/>
    <w:rsid w:val="006D0A5D"/>
    <w:rsid w:val="006D0B23"/>
    <w:rsid w:val="006D1AFF"/>
    <w:rsid w:val="006D2482"/>
    <w:rsid w:val="006D286D"/>
    <w:rsid w:val="006D289E"/>
    <w:rsid w:val="006D2D26"/>
    <w:rsid w:val="006D2ED6"/>
    <w:rsid w:val="006D3355"/>
    <w:rsid w:val="006D3EF4"/>
    <w:rsid w:val="006D4576"/>
    <w:rsid w:val="006D4840"/>
    <w:rsid w:val="006D48F3"/>
    <w:rsid w:val="006D49AC"/>
    <w:rsid w:val="006D4BF2"/>
    <w:rsid w:val="006D4CA2"/>
    <w:rsid w:val="006D547F"/>
    <w:rsid w:val="006D5685"/>
    <w:rsid w:val="006D5EA0"/>
    <w:rsid w:val="006D63F8"/>
    <w:rsid w:val="006D698C"/>
    <w:rsid w:val="006D6995"/>
    <w:rsid w:val="006D7111"/>
    <w:rsid w:val="006D7959"/>
    <w:rsid w:val="006E0D08"/>
    <w:rsid w:val="006E0EFD"/>
    <w:rsid w:val="006E136B"/>
    <w:rsid w:val="006E14A3"/>
    <w:rsid w:val="006E14C2"/>
    <w:rsid w:val="006E1987"/>
    <w:rsid w:val="006E1EB1"/>
    <w:rsid w:val="006E2379"/>
    <w:rsid w:val="006E23B2"/>
    <w:rsid w:val="006E2879"/>
    <w:rsid w:val="006E2D99"/>
    <w:rsid w:val="006E3BCF"/>
    <w:rsid w:val="006E401D"/>
    <w:rsid w:val="006E41BF"/>
    <w:rsid w:val="006E4FBA"/>
    <w:rsid w:val="006E5207"/>
    <w:rsid w:val="006E593E"/>
    <w:rsid w:val="006E654A"/>
    <w:rsid w:val="006E687D"/>
    <w:rsid w:val="006E6B72"/>
    <w:rsid w:val="006E736A"/>
    <w:rsid w:val="006E7D16"/>
    <w:rsid w:val="006F0129"/>
    <w:rsid w:val="006F0696"/>
    <w:rsid w:val="006F088B"/>
    <w:rsid w:val="006F10AD"/>
    <w:rsid w:val="006F1331"/>
    <w:rsid w:val="006F15F4"/>
    <w:rsid w:val="006F19F3"/>
    <w:rsid w:val="006F19FB"/>
    <w:rsid w:val="006F2637"/>
    <w:rsid w:val="006F29E5"/>
    <w:rsid w:val="006F2B1B"/>
    <w:rsid w:val="006F3096"/>
    <w:rsid w:val="006F350B"/>
    <w:rsid w:val="006F3680"/>
    <w:rsid w:val="006F3796"/>
    <w:rsid w:val="006F520A"/>
    <w:rsid w:val="006F54B2"/>
    <w:rsid w:val="006F5C70"/>
    <w:rsid w:val="006F5FB8"/>
    <w:rsid w:val="006F62D7"/>
    <w:rsid w:val="006F6378"/>
    <w:rsid w:val="006F6909"/>
    <w:rsid w:val="006F6A20"/>
    <w:rsid w:val="006F6AF1"/>
    <w:rsid w:val="006F705A"/>
    <w:rsid w:val="006F727D"/>
    <w:rsid w:val="006F771C"/>
    <w:rsid w:val="0070027D"/>
    <w:rsid w:val="00700875"/>
    <w:rsid w:val="00700908"/>
    <w:rsid w:val="007017A0"/>
    <w:rsid w:val="00701AA3"/>
    <w:rsid w:val="00701ED2"/>
    <w:rsid w:val="007024EC"/>
    <w:rsid w:val="00702A8B"/>
    <w:rsid w:val="00703010"/>
    <w:rsid w:val="007035D0"/>
    <w:rsid w:val="00703D5B"/>
    <w:rsid w:val="00703DB8"/>
    <w:rsid w:val="007042AC"/>
    <w:rsid w:val="007046E0"/>
    <w:rsid w:val="007047B2"/>
    <w:rsid w:val="00704ADA"/>
    <w:rsid w:val="00704B18"/>
    <w:rsid w:val="00704DE7"/>
    <w:rsid w:val="00704FBE"/>
    <w:rsid w:val="007052F6"/>
    <w:rsid w:val="0070564E"/>
    <w:rsid w:val="007057FE"/>
    <w:rsid w:val="007058B0"/>
    <w:rsid w:val="00705B89"/>
    <w:rsid w:val="00706394"/>
    <w:rsid w:val="00706868"/>
    <w:rsid w:val="00706E93"/>
    <w:rsid w:val="007072A6"/>
    <w:rsid w:val="00707319"/>
    <w:rsid w:val="00707418"/>
    <w:rsid w:val="007078B8"/>
    <w:rsid w:val="00707D2B"/>
    <w:rsid w:val="00710EAA"/>
    <w:rsid w:val="0071102E"/>
    <w:rsid w:val="007115BA"/>
    <w:rsid w:val="00711969"/>
    <w:rsid w:val="00711AF7"/>
    <w:rsid w:val="007122A4"/>
    <w:rsid w:val="00712B4B"/>
    <w:rsid w:val="00712C40"/>
    <w:rsid w:val="00713352"/>
    <w:rsid w:val="00713978"/>
    <w:rsid w:val="00713B2F"/>
    <w:rsid w:val="00713E76"/>
    <w:rsid w:val="007146DF"/>
    <w:rsid w:val="007149C5"/>
    <w:rsid w:val="0071501B"/>
    <w:rsid w:val="00715E32"/>
    <w:rsid w:val="007162D1"/>
    <w:rsid w:val="00716400"/>
    <w:rsid w:val="00716463"/>
    <w:rsid w:val="00716A3E"/>
    <w:rsid w:val="00716C1F"/>
    <w:rsid w:val="0071706E"/>
    <w:rsid w:val="00717478"/>
    <w:rsid w:val="007178A0"/>
    <w:rsid w:val="00717E45"/>
    <w:rsid w:val="00720326"/>
    <w:rsid w:val="0072112F"/>
    <w:rsid w:val="007211BD"/>
    <w:rsid w:val="00721203"/>
    <w:rsid w:val="00721661"/>
    <w:rsid w:val="00722A4F"/>
    <w:rsid w:val="007230BE"/>
    <w:rsid w:val="00723618"/>
    <w:rsid w:val="00723776"/>
    <w:rsid w:val="0072408E"/>
    <w:rsid w:val="007243BB"/>
    <w:rsid w:val="00724DCF"/>
    <w:rsid w:val="0072533B"/>
    <w:rsid w:val="007253A2"/>
    <w:rsid w:val="00725502"/>
    <w:rsid w:val="00725767"/>
    <w:rsid w:val="00726357"/>
    <w:rsid w:val="007267A6"/>
    <w:rsid w:val="00726E50"/>
    <w:rsid w:val="00726F24"/>
    <w:rsid w:val="00727292"/>
    <w:rsid w:val="007279EF"/>
    <w:rsid w:val="00727B16"/>
    <w:rsid w:val="00727C25"/>
    <w:rsid w:val="00730541"/>
    <w:rsid w:val="007307D7"/>
    <w:rsid w:val="0073082C"/>
    <w:rsid w:val="007308F5"/>
    <w:rsid w:val="007308FE"/>
    <w:rsid w:val="00730BD8"/>
    <w:rsid w:val="00730DF3"/>
    <w:rsid w:val="007313F5"/>
    <w:rsid w:val="00731832"/>
    <w:rsid w:val="00731B55"/>
    <w:rsid w:val="00732302"/>
    <w:rsid w:val="007323E7"/>
    <w:rsid w:val="00732E78"/>
    <w:rsid w:val="00732EA7"/>
    <w:rsid w:val="00733566"/>
    <w:rsid w:val="0073407C"/>
    <w:rsid w:val="00734203"/>
    <w:rsid w:val="00734804"/>
    <w:rsid w:val="00735287"/>
    <w:rsid w:val="00735293"/>
    <w:rsid w:val="007356AD"/>
    <w:rsid w:val="00735AA2"/>
    <w:rsid w:val="00735E1C"/>
    <w:rsid w:val="0073665C"/>
    <w:rsid w:val="007369E8"/>
    <w:rsid w:val="00736B32"/>
    <w:rsid w:val="00736DBD"/>
    <w:rsid w:val="007401CE"/>
    <w:rsid w:val="00740950"/>
    <w:rsid w:val="007409C2"/>
    <w:rsid w:val="00740C3D"/>
    <w:rsid w:val="00740CCF"/>
    <w:rsid w:val="00740ECC"/>
    <w:rsid w:val="00741378"/>
    <w:rsid w:val="0074190A"/>
    <w:rsid w:val="00742560"/>
    <w:rsid w:val="0074261A"/>
    <w:rsid w:val="00742F6A"/>
    <w:rsid w:val="00743516"/>
    <w:rsid w:val="007435A0"/>
    <w:rsid w:val="007441C6"/>
    <w:rsid w:val="007446E8"/>
    <w:rsid w:val="00744ACE"/>
    <w:rsid w:val="00744ED8"/>
    <w:rsid w:val="007451AD"/>
    <w:rsid w:val="00745527"/>
    <w:rsid w:val="00746C83"/>
    <w:rsid w:val="00746F79"/>
    <w:rsid w:val="00747271"/>
    <w:rsid w:val="0074731C"/>
    <w:rsid w:val="00747A2F"/>
    <w:rsid w:val="00747CCD"/>
    <w:rsid w:val="00747E8E"/>
    <w:rsid w:val="00750514"/>
    <w:rsid w:val="00750975"/>
    <w:rsid w:val="00750A30"/>
    <w:rsid w:val="00750FCC"/>
    <w:rsid w:val="00750FD3"/>
    <w:rsid w:val="00751143"/>
    <w:rsid w:val="00751553"/>
    <w:rsid w:val="0075165E"/>
    <w:rsid w:val="00751C42"/>
    <w:rsid w:val="00751E22"/>
    <w:rsid w:val="00751E98"/>
    <w:rsid w:val="00751FA8"/>
    <w:rsid w:val="007535A4"/>
    <w:rsid w:val="007545A5"/>
    <w:rsid w:val="00754984"/>
    <w:rsid w:val="00754E10"/>
    <w:rsid w:val="00755FDC"/>
    <w:rsid w:val="00756092"/>
    <w:rsid w:val="0075622A"/>
    <w:rsid w:val="007566EF"/>
    <w:rsid w:val="0075686C"/>
    <w:rsid w:val="00756C17"/>
    <w:rsid w:val="0075724A"/>
    <w:rsid w:val="00757595"/>
    <w:rsid w:val="00757A64"/>
    <w:rsid w:val="00760503"/>
    <w:rsid w:val="00760C21"/>
    <w:rsid w:val="00761761"/>
    <w:rsid w:val="0076183C"/>
    <w:rsid w:val="00761AAC"/>
    <w:rsid w:val="00761C9B"/>
    <w:rsid w:val="00762030"/>
    <w:rsid w:val="0076219E"/>
    <w:rsid w:val="00762200"/>
    <w:rsid w:val="007626A3"/>
    <w:rsid w:val="007626CB"/>
    <w:rsid w:val="00762702"/>
    <w:rsid w:val="007628A5"/>
    <w:rsid w:val="00762A29"/>
    <w:rsid w:val="00762D4C"/>
    <w:rsid w:val="00762FCD"/>
    <w:rsid w:val="0076327D"/>
    <w:rsid w:val="007636DE"/>
    <w:rsid w:val="00764122"/>
    <w:rsid w:val="007644B4"/>
    <w:rsid w:val="0076467F"/>
    <w:rsid w:val="007647C1"/>
    <w:rsid w:val="00764B5C"/>
    <w:rsid w:val="00764C00"/>
    <w:rsid w:val="00764C0B"/>
    <w:rsid w:val="00765122"/>
    <w:rsid w:val="00765214"/>
    <w:rsid w:val="00765586"/>
    <w:rsid w:val="007657D4"/>
    <w:rsid w:val="0076590F"/>
    <w:rsid w:val="007661FF"/>
    <w:rsid w:val="00766527"/>
    <w:rsid w:val="00766864"/>
    <w:rsid w:val="0076710A"/>
    <w:rsid w:val="0076743C"/>
    <w:rsid w:val="00767745"/>
    <w:rsid w:val="00767D1B"/>
    <w:rsid w:val="00767E08"/>
    <w:rsid w:val="007702F4"/>
    <w:rsid w:val="00770436"/>
    <w:rsid w:val="007707FC"/>
    <w:rsid w:val="00770BE3"/>
    <w:rsid w:val="00770D8C"/>
    <w:rsid w:val="00770E54"/>
    <w:rsid w:val="007711CC"/>
    <w:rsid w:val="0077136F"/>
    <w:rsid w:val="0077176E"/>
    <w:rsid w:val="0077177A"/>
    <w:rsid w:val="00771A08"/>
    <w:rsid w:val="00771C4E"/>
    <w:rsid w:val="00771C84"/>
    <w:rsid w:val="00771CCE"/>
    <w:rsid w:val="007728A8"/>
    <w:rsid w:val="007728ED"/>
    <w:rsid w:val="00772923"/>
    <w:rsid w:val="00772957"/>
    <w:rsid w:val="00772BA2"/>
    <w:rsid w:val="00772F23"/>
    <w:rsid w:val="007733D2"/>
    <w:rsid w:val="00773A37"/>
    <w:rsid w:val="0077455C"/>
    <w:rsid w:val="007746DD"/>
    <w:rsid w:val="00775013"/>
    <w:rsid w:val="00775365"/>
    <w:rsid w:val="007754A0"/>
    <w:rsid w:val="007757DB"/>
    <w:rsid w:val="00776129"/>
    <w:rsid w:val="0077661F"/>
    <w:rsid w:val="00776AF5"/>
    <w:rsid w:val="00777292"/>
    <w:rsid w:val="00777A27"/>
    <w:rsid w:val="00777CEB"/>
    <w:rsid w:val="007802EF"/>
    <w:rsid w:val="007808C3"/>
    <w:rsid w:val="00781716"/>
    <w:rsid w:val="00781A15"/>
    <w:rsid w:val="00781DCF"/>
    <w:rsid w:val="0078206C"/>
    <w:rsid w:val="00782816"/>
    <w:rsid w:val="007833DF"/>
    <w:rsid w:val="00783506"/>
    <w:rsid w:val="007837BD"/>
    <w:rsid w:val="00783930"/>
    <w:rsid w:val="0078441D"/>
    <w:rsid w:val="007845AA"/>
    <w:rsid w:val="007848DE"/>
    <w:rsid w:val="0078490C"/>
    <w:rsid w:val="0078497C"/>
    <w:rsid w:val="00784D21"/>
    <w:rsid w:val="00784ECF"/>
    <w:rsid w:val="007851B2"/>
    <w:rsid w:val="007851BF"/>
    <w:rsid w:val="00785A76"/>
    <w:rsid w:val="00786204"/>
    <w:rsid w:val="007867B5"/>
    <w:rsid w:val="00786B4D"/>
    <w:rsid w:val="00786B5E"/>
    <w:rsid w:val="00786F05"/>
    <w:rsid w:val="00787334"/>
    <w:rsid w:val="007876E1"/>
    <w:rsid w:val="00787852"/>
    <w:rsid w:val="0079029F"/>
    <w:rsid w:val="007904D7"/>
    <w:rsid w:val="00790AA2"/>
    <w:rsid w:val="00790C12"/>
    <w:rsid w:val="0079105B"/>
    <w:rsid w:val="007915BC"/>
    <w:rsid w:val="007917EE"/>
    <w:rsid w:val="00791CA3"/>
    <w:rsid w:val="00791D12"/>
    <w:rsid w:val="00793324"/>
    <w:rsid w:val="00793455"/>
    <w:rsid w:val="007935D9"/>
    <w:rsid w:val="007940C9"/>
    <w:rsid w:val="0079475D"/>
    <w:rsid w:val="00794AA5"/>
    <w:rsid w:val="00794F43"/>
    <w:rsid w:val="00795947"/>
    <w:rsid w:val="00795A03"/>
    <w:rsid w:val="00795E63"/>
    <w:rsid w:val="007967AF"/>
    <w:rsid w:val="007967FA"/>
    <w:rsid w:val="00797054"/>
    <w:rsid w:val="0079712F"/>
    <w:rsid w:val="00797BCF"/>
    <w:rsid w:val="00797E7A"/>
    <w:rsid w:val="007A01C9"/>
    <w:rsid w:val="007A0206"/>
    <w:rsid w:val="007A091A"/>
    <w:rsid w:val="007A0AC4"/>
    <w:rsid w:val="007A0EA6"/>
    <w:rsid w:val="007A10AB"/>
    <w:rsid w:val="007A14BC"/>
    <w:rsid w:val="007A19B0"/>
    <w:rsid w:val="007A2D9E"/>
    <w:rsid w:val="007A2F8F"/>
    <w:rsid w:val="007A3174"/>
    <w:rsid w:val="007A41AC"/>
    <w:rsid w:val="007A4B0D"/>
    <w:rsid w:val="007A4B43"/>
    <w:rsid w:val="007A4D76"/>
    <w:rsid w:val="007A4DF9"/>
    <w:rsid w:val="007A5B84"/>
    <w:rsid w:val="007A6594"/>
    <w:rsid w:val="007A6BFF"/>
    <w:rsid w:val="007A7095"/>
    <w:rsid w:val="007A738D"/>
    <w:rsid w:val="007A7A8F"/>
    <w:rsid w:val="007A7AFB"/>
    <w:rsid w:val="007B0195"/>
    <w:rsid w:val="007B0381"/>
    <w:rsid w:val="007B0ACE"/>
    <w:rsid w:val="007B0F3D"/>
    <w:rsid w:val="007B1008"/>
    <w:rsid w:val="007B148D"/>
    <w:rsid w:val="007B1751"/>
    <w:rsid w:val="007B18C8"/>
    <w:rsid w:val="007B1A33"/>
    <w:rsid w:val="007B1D4F"/>
    <w:rsid w:val="007B1F25"/>
    <w:rsid w:val="007B22A6"/>
    <w:rsid w:val="007B2552"/>
    <w:rsid w:val="007B28DE"/>
    <w:rsid w:val="007B3712"/>
    <w:rsid w:val="007B4231"/>
    <w:rsid w:val="007B43D6"/>
    <w:rsid w:val="007B57F0"/>
    <w:rsid w:val="007B58AF"/>
    <w:rsid w:val="007B5C1E"/>
    <w:rsid w:val="007B634E"/>
    <w:rsid w:val="007B65C6"/>
    <w:rsid w:val="007B6A64"/>
    <w:rsid w:val="007B6ADE"/>
    <w:rsid w:val="007B6E2F"/>
    <w:rsid w:val="007B6EB3"/>
    <w:rsid w:val="007B71C2"/>
    <w:rsid w:val="007B739D"/>
    <w:rsid w:val="007B7480"/>
    <w:rsid w:val="007B776E"/>
    <w:rsid w:val="007B7A5F"/>
    <w:rsid w:val="007B7BC8"/>
    <w:rsid w:val="007C007D"/>
    <w:rsid w:val="007C0332"/>
    <w:rsid w:val="007C0502"/>
    <w:rsid w:val="007C07B1"/>
    <w:rsid w:val="007C162C"/>
    <w:rsid w:val="007C1EB2"/>
    <w:rsid w:val="007C2274"/>
    <w:rsid w:val="007C241C"/>
    <w:rsid w:val="007C273E"/>
    <w:rsid w:val="007C27F5"/>
    <w:rsid w:val="007C29C7"/>
    <w:rsid w:val="007C2BD2"/>
    <w:rsid w:val="007C2EEB"/>
    <w:rsid w:val="007C3016"/>
    <w:rsid w:val="007C314F"/>
    <w:rsid w:val="007C35A3"/>
    <w:rsid w:val="007C36BE"/>
    <w:rsid w:val="007C373D"/>
    <w:rsid w:val="007C48FA"/>
    <w:rsid w:val="007C4E4F"/>
    <w:rsid w:val="007C4EB3"/>
    <w:rsid w:val="007C5EFA"/>
    <w:rsid w:val="007C62E1"/>
    <w:rsid w:val="007C63B1"/>
    <w:rsid w:val="007D0145"/>
    <w:rsid w:val="007D020E"/>
    <w:rsid w:val="007D03A2"/>
    <w:rsid w:val="007D059A"/>
    <w:rsid w:val="007D0D15"/>
    <w:rsid w:val="007D115A"/>
    <w:rsid w:val="007D242A"/>
    <w:rsid w:val="007D36A7"/>
    <w:rsid w:val="007D38C8"/>
    <w:rsid w:val="007D3BDB"/>
    <w:rsid w:val="007D46B5"/>
    <w:rsid w:val="007D4770"/>
    <w:rsid w:val="007D48CF"/>
    <w:rsid w:val="007D4B49"/>
    <w:rsid w:val="007D4B51"/>
    <w:rsid w:val="007D4B5F"/>
    <w:rsid w:val="007D4F4B"/>
    <w:rsid w:val="007D526A"/>
    <w:rsid w:val="007D53ED"/>
    <w:rsid w:val="007D6001"/>
    <w:rsid w:val="007D6561"/>
    <w:rsid w:val="007D66D6"/>
    <w:rsid w:val="007D66DA"/>
    <w:rsid w:val="007D68BD"/>
    <w:rsid w:val="007D6A48"/>
    <w:rsid w:val="007D6E1B"/>
    <w:rsid w:val="007D7049"/>
    <w:rsid w:val="007D7CE8"/>
    <w:rsid w:val="007D7F94"/>
    <w:rsid w:val="007E05CE"/>
    <w:rsid w:val="007E063B"/>
    <w:rsid w:val="007E0D98"/>
    <w:rsid w:val="007E0E48"/>
    <w:rsid w:val="007E115C"/>
    <w:rsid w:val="007E12CB"/>
    <w:rsid w:val="007E1476"/>
    <w:rsid w:val="007E176F"/>
    <w:rsid w:val="007E1A33"/>
    <w:rsid w:val="007E1B76"/>
    <w:rsid w:val="007E1C1E"/>
    <w:rsid w:val="007E219A"/>
    <w:rsid w:val="007E280D"/>
    <w:rsid w:val="007E2896"/>
    <w:rsid w:val="007E29C8"/>
    <w:rsid w:val="007E2B4A"/>
    <w:rsid w:val="007E31B6"/>
    <w:rsid w:val="007E37BF"/>
    <w:rsid w:val="007E3941"/>
    <w:rsid w:val="007E3E8A"/>
    <w:rsid w:val="007E44AA"/>
    <w:rsid w:val="007E46E4"/>
    <w:rsid w:val="007E49FD"/>
    <w:rsid w:val="007E4D3A"/>
    <w:rsid w:val="007E50FC"/>
    <w:rsid w:val="007E52B1"/>
    <w:rsid w:val="007E5437"/>
    <w:rsid w:val="007E551F"/>
    <w:rsid w:val="007E56ED"/>
    <w:rsid w:val="007E5897"/>
    <w:rsid w:val="007E611C"/>
    <w:rsid w:val="007E6400"/>
    <w:rsid w:val="007E6593"/>
    <w:rsid w:val="007E689F"/>
    <w:rsid w:val="007E6C27"/>
    <w:rsid w:val="007E6C89"/>
    <w:rsid w:val="007E6E09"/>
    <w:rsid w:val="007E7062"/>
    <w:rsid w:val="007E7405"/>
    <w:rsid w:val="007E753B"/>
    <w:rsid w:val="007F0634"/>
    <w:rsid w:val="007F08DB"/>
    <w:rsid w:val="007F08ED"/>
    <w:rsid w:val="007F0A9A"/>
    <w:rsid w:val="007F0F43"/>
    <w:rsid w:val="007F1101"/>
    <w:rsid w:val="007F15A0"/>
    <w:rsid w:val="007F1978"/>
    <w:rsid w:val="007F2175"/>
    <w:rsid w:val="007F2555"/>
    <w:rsid w:val="007F2568"/>
    <w:rsid w:val="007F2AA4"/>
    <w:rsid w:val="007F2CB1"/>
    <w:rsid w:val="007F2DB2"/>
    <w:rsid w:val="007F2F9B"/>
    <w:rsid w:val="007F3292"/>
    <w:rsid w:val="007F36B4"/>
    <w:rsid w:val="007F3D67"/>
    <w:rsid w:val="007F4600"/>
    <w:rsid w:val="007F4A8D"/>
    <w:rsid w:val="007F4C71"/>
    <w:rsid w:val="007F533D"/>
    <w:rsid w:val="007F559A"/>
    <w:rsid w:val="007F569D"/>
    <w:rsid w:val="007F59B4"/>
    <w:rsid w:val="007F5F6E"/>
    <w:rsid w:val="007F630B"/>
    <w:rsid w:val="007F65F8"/>
    <w:rsid w:val="007F6B91"/>
    <w:rsid w:val="007F6EDB"/>
    <w:rsid w:val="007F70AC"/>
    <w:rsid w:val="007F74CE"/>
    <w:rsid w:val="007F78C7"/>
    <w:rsid w:val="007F7B3D"/>
    <w:rsid w:val="007F7B5E"/>
    <w:rsid w:val="007F7C02"/>
    <w:rsid w:val="007F7DBF"/>
    <w:rsid w:val="00800109"/>
    <w:rsid w:val="0080028B"/>
    <w:rsid w:val="00800416"/>
    <w:rsid w:val="008006BA"/>
    <w:rsid w:val="00800953"/>
    <w:rsid w:val="00800B11"/>
    <w:rsid w:val="00800E04"/>
    <w:rsid w:val="0080131E"/>
    <w:rsid w:val="00801CE3"/>
    <w:rsid w:val="00802143"/>
    <w:rsid w:val="00802816"/>
    <w:rsid w:val="00802C20"/>
    <w:rsid w:val="00802DCC"/>
    <w:rsid w:val="008033BD"/>
    <w:rsid w:val="008036EC"/>
    <w:rsid w:val="00803A23"/>
    <w:rsid w:val="00803D20"/>
    <w:rsid w:val="00804553"/>
    <w:rsid w:val="00804844"/>
    <w:rsid w:val="00804E62"/>
    <w:rsid w:val="00805B83"/>
    <w:rsid w:val="0080604B"/>
    <w:rsid w:val="008067B0"/>
    <w:rsid w:val="00806AAC"/>
    <w:rsid w:val="00806DAC"/>
    <w:rsid w:val="00807816"/>
    <w:rsid w:val="00807C00"/>
    <w:rsid w:val="00807F96"/>
    <w:rsid w:val="00810032"/>
    <w:rsid w:val="00810C5E"/>
    <w:rsid w:val="00810C84"/>
    <w:rsid w:val="008112A0"/>
    <w:rsid w:val="008113C7"/>
    <w:rsid w:val="00811791"/>
    <w:rsid w:val="00811A99"/>
    <w:rsid w:val="00811B6D"/>
    <w:rsid w:val="008124D7"/>
    <w:rsid w:val="008129B0"/>
    <w:rsid w:val="00813399"/>
    <w:rsid w:val="00814563"/>
    <w:rsid w:val="00814977"/>
    <w:rsid w:val="0081497C"/>
    <w:rsid w:val="00814E39"/>
    <w:rsid w:val="0081511F"/>
    <w:rsid w:val="0081533C"/>
    <w:rsid w:val="00815440"/>
    <w:rsid w:val="0081696D"/>
    <w:rsid w:val="0081699E"/>
    <w:rsid w:val="00816E01"/>
    <w:rsid w:val="008173D0"/>
    <w:rsid w:val="00817E6E"/>
    <w:rsid w:val="00820241"/>
    <w:rsid w:val="00820248"/>
    <w:rsid w:val="008204CD"/>
    <w:rsid w:val="0082064C"/>
    <w:rsid w:val="0082075C"/>
    <w:rsid w:val="008209F4"/>
    <w:rsid w:val="00820B26"/>
    <w:rsid w:val="00820E3F"/>
    <w:rsid w:val="0082100A"/>
    <w:rsid w:val="0082143B"/>
    <w:rsid w:val="008214F9"/>
    <w:rsid w:val="0082159A"/>
    <w:rsid w:val="00821957"/>
    <w:rsid w:val="00822107"/>
    <w:rsid w:val="0082269E"/>
    <w:rsid w:val="00822F28"/>
    <w:rsid w:val="00822FE8"/>
    <w:rsid w:val="00823235"/>
    <w:rsid w:val="00823AD4"/>
    <w:rsid w:val="00823ADB"/>
    <w:rsid w:val="008249F1"/>
    <w:rsid w:val="00824AF2"/>
    <w:rsid w:val="00824F82"/>
    <w:rsid w:val="00824F9C"/>
    <w:rsid w:val="0082506B"/>
    <w:rsid w:val="008254B8"/>
    <w:rsid w:val="00825902"/>
    <w:rsid w:val="00825B8D"/>
    <w:rsid w:val="00825DCE"/>
    <w:rsid w:val="00826158"/>
    <w:rsid w:val="00826686"/>
    <w:rsid w:val="00827615"/>
    <w:rsid w:val="008276ED"/>
    <w:rsid w:val="00827C60"/>
    <w:rsid w:val="00827DB2"/>
    <w:rsid w:val="00827DED"/>
    <w:rsid w:val="00827F74"/>
    <w:rsid w:val="0083025E"/>
    <w:rsid w:val="00830B6D"/>
    <w:rsid w:val="0083198F"/>
    <w:rsid w:val="00831CE1"/>
    <w:rsid w:val="00832530"/>
    <w:rsid w:val="0083277B"/>
    <w:rsid w:val="0083369F"/>
    <w:rsid w:val="0083376B"/>
    <w:rsid w:val="008337D9"/>
    <w:rsid w:val="00833813"/>
    <w:rsid w:val="00834405"/>
    <w:rsid w:val="00834C3C"/>
    <w:rsid w:val="00835563"/>
    <w:rsid w:val="00835A9D"/>
    <w:rsid w:val="00835DA5"/>
    <w:rsid w:val="00836511"/>
    <w:rsid w:val="00836827"/>
    <w:rsid w:val="00836B02"/>
    <w:rsid w:val="00836B41"/>
    <w:rsid w:val="00836E62"/>
    <w:rsid w:val="00836EC6"/>
    <w:rsid w:val="008372C9"/>
    <w:rsid w:val="0083741E"/>
    <w:rsid w:val="00837985"/>
    <w:rsid w:val="00837D3B"/>
    <w:rsid w:val="00840140"/>
    <w:rsid w:val="00840ACA"/>
    <w:rsid w:val="00840BAF"/>
    <w:rsid w:val="00840E3D"/>
    <w:rsid w:val="00840E3E"/>
    <w:rsid w:val="008411D3"/>
    <w:rsid w:val="0084142E"/>
    <w:rsid w:val="00841D8C"/>
    <w:rsid w:val="00841EB7"/>
    <w:rsid w:val="00842220"/>
    <w:rsid w:val="008422BB"/>
    <w:rsid w:val="00842614"/>
    <w:rsid w:val="00842E82"/>
    <w:rsid w:val="00842F6C"/>
    <w:rsid w:val="0084333D"/>
    <w:rsid w:val="00843D86"/>
    <w:rsid w:val="00843E4C"/>
    <w:rsid w:val="00844111"/>
    <w:rsid w:val="008441A7"/>
    <w:rsid w:val="008448DC"/>
    <w:rsid w:val="008449A9"/>
    <w:rsid w:val="00844E51"/>
    <w:rsid w:val="00844F74"/>
    <w:rsid w:val="008456A2"/>
    <w:rsid w:val="00845725"/>
    <w:rsid w:val="00845E64"/>
    <w:rsid w:val="00846112"/>
    <w:rsid w:val="00846339"/>
    <w:rsid w:val="00846382"/>
    <w:rsid w:val="008463F0"/>
    <w:rsid w:val="00847C26"/>
    <w:rsid w:val="008506EC"/>
    <w:rsid w:val="00850908"/>
    <w:rsid w:val="00850F57"/>
    <w:rsid w:val="00850FE8"/>
    <w:rsid w:val="0085188F"/>
    <w:rsid w:val="0085190E"/>
    <w:rsid w:val="00851C1D"/>
    <w:rsid w:val="00851D4E"/>
    <w:rsid w:val="00852215"/>
    <w:rsid w:val="00852639"/>
    <w:rsid w:val="00852823"/>
    <w:rsid w:val="00852903"/>
    <w:rsid w:val="00852C17"/>
    <w:rsid w:val="00853262"/>
    <w:rsid w:val="00853394"/>
    <w:rsid w:val="008535C5"/>
    <w:rsid w:val="0085368E"/>
    <w:rsid w:val="008536C2"/>
    <w:rsid w:val="00853A6A"/>
    <w:rsid w:val="00853B51"/>
    <w:rsid w:val="008542D1"/>
    <w:rsid w:val="00854893"/>
    <w:rsid w:val="00854ACC"/>
    <w:rsid w:val="00854AFB"/>
    <w:rsid w:val="00854C49"/>
    <w:rsid w:val="00854FBB"/>
    <w:rsid w:val="00855378"/>
    <w:rsid w:val="00855D3F"/>
    <w:rsid w:val="00856248"/>
    <w:rsid w:val="00856D98"/>
    <w:rsid w:val="00857358"/>
    <w:rsid w:val="008600C7"/>
    <w:rsid w:val="00860541"/>
    <w:rsid w:val="00860C5C"/>
    <w:rsid w:val="0086114F"/>
    <w:rsid w:val="008611D8"/>
    <w:rsid w:val="0086146F"/>
    <w:rsid w:val="0086150E"/>
    <w:rsid w:val="008617D0"/>
    <w:rsid w:val="008619AD"/>
    <w:rsid w:val="00861A38"/>
    <w:rsid w:val="00861A60"/>
    <w:rsid w:val="00861D4E"/>
    <w:rsid w:val="00861EB3"/>
    <w:rsid w:val="00861F2A"/>
    <w:rsid w:val="00862357"/>
    <w:rsid w:val="008623CD"/>
    <w:rsid w:val="008626AC"/>
    <w:rsid w:val="00862C06"/>
    <w:rsid w:val="00862D02"/>
    <w:rsid w:val="00862F36"/>
    <w:rsid w:val="008637B9"/>
    <w:rsid w:val="0086392A"/>
    <w:rsid w:val="00863D51"/>
    <w:rsid w:val="00863EB4"/>
    <w:rsid w:val="00864194"/>
    <w:rsid w:val="00864212"/>
    <w:rsid w:val="0086427B"/>
    <w:rsid w:val="00864298"/>
    <w:rsid w:val="00864802"/>
    <w:rsid w:val="00864979"/>
    <w:rsid w:val="00864B5D"/>
    <w:rsid w:val="00864B9C"/>
    <w:rsid w:val="00864EF7"/>
    <w:rsid w:val="008656F3"/>
    <w:rsid w:val="0086592D"/>
    <w:rsid w:val="00865F5A"/>
    <w:rsid w:val="00866278"/>
    <w:rsid w:val="00866924"/>
    <w:rsid w:val="00866B39"/>
    <w:rsid w:val="00866BDB"/>
    <w:rsid w:val="008671E9"/>
    <w:rsid w:val="0086721E"/>
    <w:rsid w:val="00867368"/>
    <w:rsid w:val="0086762E"/>
    <w:rsid w:val="00867E60"/>
    <w:rsid w:val="008700BE"/>
    <w:rsid w:val="008702A6"/>
    <w:rsid w:val="00870399"/>
    <w:rsid w:val="008705BD"/>
    <w:rsid w:val="00870697"/>
    <w:rsid w:val="00870CC7"/>
    <w:rsid w:val="00870E9D"/>
    <w:rsid w:val="00870FA1"/>
    <w:rsid w:val="0087117E"/>
    <w:rsid w:val="008711EC"/>
    <w:rsid w:val="008715A2"/>
    <w:rsid w:val="008718FE"/>
    <w:rsid w:val="00872946"/>
    <w:rsid w:val="00873B7F"/>
    <w:rsid w:val="00873BA5"/>
    <w:rsid w:val="00873C00"/>
    <w:rsid w:val="00874349"/>
    <w:rsid w:val="00874601"/>
    <w:rsid w:val="00874A3E"/>
    <w:rsid w:val="00875108"/>
    <w:rsid w:val="00875333"/>
    <w:rsid w:val="00875AA0"/>
    <w:rsid w:val="00875DC8"/>
    <w:rsid w:val="00876421"/>
    <w:rsid w:val="00876DC6"/>
    <w:rsid w:val="008771CE"/>
    <w:rsid w:val="00877470"/>
    <w:rsid w:val="00877658"/>
    <w:rsid w:val="0087768B"/>
    <w:rsid w:val="00877F3E"/>
    <w:rsid w:val="0088040D"/>
    <w:rsid w:val="00880904"/>
    <w:rsid w:val="00880FB6"/>
    <w:rsid w:val="008811F1"/>
    <w:rsid w:val="00881876"/>
    <w:rsid w:val="00881DA8"/>
    <w:rsid w:val="00881E01"/>
    <w:rsid w:val="008828F8"/>
    <w:rsid w:val="0088296F"/>
    <w:rsid w:val="00882BEB"/>
    <w:rsid w:val="00882FC2"/>
    <w:rsid w:val="008834B4"/>
    <w:rsid w:val="008835EE"/>
    <w:rsid w:val="0088362F"/>
    <w:rsid w:val="008837C5"/>
    <w:rsid w:val="00883928"/>
    <w:rsid w:val="00883DDE"/>
    <w:rsid w:val="00883F46"/>
    <w:rsid w:val="00884D0B"/>
    <w:rsid w:val="00884D9D"/>
    <w:rsid w:val="00884E03"/>
    <w:rsid w:val="00884E2B"/>
    <w:rsid w:val="00885890"/>
    <w:rsid w:val="00885D0A"/>
    <w:rsid w:val="00886CB6"/>
    <w:rsid w:val="0088771C"/>
    <w:rsid w:val="00887A28"/>
    <w:rsid w:val="008900BC"/>
    <w:rsid w:val="008902EF"/>
    <w:rsid w:val="008903A0"/>
    <w:rsid w:val="008906C3"/>
    <w:rsid w:val="00890C5D"/>
    <w:rsid w:val="00891470"/>
    <w:rsid w:val="008914B9"/>
    <w:rsid w:val="00891D73"/>
    <w:rsid w:val="00892054"/>
    <w:rsid w:val="0089211A"/>
    <w:rsid w:val="00892395"/>
    <w:rsid w:val="00892A44"/>
    <w:rsid w:val="008931DD"/>
    <w:rsid w:val="0089352B"/>
    <w:rsid w:val="0089372A"/>
    <w:rsid w:val="00894313"/>
    <w:rsid w:val="008944C4"/>
    <w:rsid w:val="00894636"/>
    <w:rsid w:val="00894A04"/>
    <w:rsid w:val="00894DED"/>
    <w:rsid w:val="008955AC"/>
    <w:rsid w:val="00895BB3"/>
    <w:rsid w:val="00896FE4"/>
    <w:rsid w:val="00897398"/>
    <w:rsid w:val="008974B8"/>
    <w:rsid w:val="00897529"/>
    <w:rsid w:val="0089780F"/>
    <w:rsid w:val="00897AEC"/>
    <w:rsid w:val="00897F0A"/>
    <w:rsid w:val="00897FD0"/>
    <w:rsid w:val="008A0D7D"/>
    <w:rsid w:val="008A1031"/>
    <w:rsid w:val="008A12E8"/>
    <w:rsid w:val="008A1396"/>
    <w:rsid w:val="008A13ED"/>
    <w:rsid w:val="008A1409"/>
    <w:rsid w:val="008A1B1A"/>
    <w:rsid w:val="008A1CBA"/>
    <w:rsid w:val="008A21F9"/>
    <w:rsid w:val="008A2535"/>
    <w:rsid w:val="008A2561"/>
    <w:rsid w:val="008A25A1"/>
    <w:rsid w:val="008A26E4"/>
    <w:rsid w:val="008A2B88"/>
    <w:rsid w:val="008A2DE8"/>
    <w:rsid w:val="008A312D"/>
    <w:rsid w:val="008A3A16"/>
    <w:rsid w:val="008A3D4B"/>
    <w:rsid w:val="008A3E09"/>
    <w:rsid w:val="008A3E57"/>
    <w:rsid w:val="008A3F04"/>
    <w:rsid w:val="008A4647"/>
    <w:rsid w:val="008A4738"/>
    <w:rsid w:val="008A61C1"/>
    <w:rsid w:val="008A6963"/>
    <w:rsid w:val="008A6AE7"/>
    <w:rsid w:val="008A712C"/>
    <w:rsid w:val="008A734A"/>
    <w:rsid w:val="008A745C"/>
    <w:rsid w:val="008A77A7"/>
    <w:rsid w:val="008A7B63"/>
    <w:rsid w:val="008B00FA"/>
    <w:rsid w:val="008B0681"/>
    <w:rsid w:val="008B0D7D"/>
    <w:rsid w:val="008B0FFD"/>
    <w:rsid w:val="008B12F7"/>
    <w:rsid w:val="008B1A4D"/>
    <w:rsid w:val="008B2B4F"/>
    <w:rsid w:val="008B2C0F"/>
    <w:rsid w:val="008B344A"/>
    <w:rsid w:val="008B3EE8"/>
    <w:rsid w:val="008B3F34"/>
    <w:rsid w:val="008B4059"/>
    <w:rsid w:val="008B44B2"/>
    <w:rsid w:val="008B4CFD"/>
    <w:rsid w:val="008B50A2"/>
    <w:rsid w:val="008B61F1"/>
    <w:rsid w:val="008B6504"/>
    <w:rsid w:val="008B672C"/>
    <w:rsid w:val="008B67B3"/>
    <w:rsid w:val="008B6B9E"/>
    <w:rsid w:val="008B6D00"/>
    <w:rsid w:val="008B7004"/>
    <w:rsid w:val="008B79CA"/>
    <w:rsid w:val="008C01E0"/>
    <w:rsid w:val="008C0794"/>
    <w:rsid w:val="008C0B4F"/>
    <w:rsid w:val="008C10D0"/>
    <w:rsid w:val="008C1530"/>
    <w:rsid w:val="008C1648"/>
    <w:rsid w:val="008C1925"/>
    <w:rsid w:val="008C1973"/>
    <w:rsid w:val="008C1B76"/>
    <w:rsid w:val="008C1C78"/>
    <w:rsid w:val="008C1E80"/>
    <w:rsid w:val="008C1FC9"/>
    <w:rsid w:val="008C239E"/>
    <w:rsid w:val="008C2704"/>
    <w:rsid w:val="008C27C2"/>
    <w:rsid w:val="008C2DE8"/>
    <w:rsid w:val="008C2E26"/>
    <w:rsid w:val="008C2E8D"/>
    <w:rsid w:val="008C32D9"/>
    <w:rsid w:val="008C401B"/>
    <w:rsid w:val="008C434D"/>
    <w:rsid w:val="008C4ABF"/>
    <w:rsid w:val="008C52BE"/>
    <w:rsid w:val="008C56B9"/>
    <w:rsid w:val="008C5750"/>
    <w:rsid w:val="008C5C35"/>
    <w:rsid w:val="008C5D16"/>
    <w:rsid w:val="008C6067"/>
    <w:rsid w:val="008C6389"/>
    <w:rsid w:val="008C6592"/>
    <w:rsid w:val="008C65F4"/>
    <w:rsid w:val="008C6640"/>
    <w:rsid w:val="008C67CD"/>
    <w:rsid w:val="008C68EA"/>
    <w:rsid w:val="008C7106"/>
    <w:rsid w:val="008C756E"/>
    <w:rsid w:val="008C789D"/>
    <w:rsid w:val="008D0535"/>
    <w:rsid w:val="008D05E0"/>
    <w:rsid w:val="008D064A"/>
    <w:rsid w:val="008D07DC"/>
    <w:rsid w:val="008D14C9"/>
    <w:rsid w:val="008D1662"/>
    <w:rsid w:val="008D1DB7"/>
    <w:rsid w:val="008D1EB9"/>
    <w:rsid w:val="008D2600"/>
    <w:rsid w:val="008D2764"/>
    <w:rsid w:val="008D2841"/>
    <w:rsid w:val="008D2DBA"/>
    <w:rsid w:val="008D33B9"/>
    <w:rsid w:val="008D3B9B"/>
    <w:rsid w:val="008D3CB7"/>
    <w:rsid w:val="008D4279"/>
    <w:rsid w:val="008D4898"/>
    <w:rsid w:val="008D49F7"/>
    <w:rsid w:val="008D4BFD"/>
    <w:rsid w:val="008D4FAE"/>
    <w:rsid w:val="008D514F"/>
    <w:rsid w:val="008D534A"/>
    <w:rsid w:val="008D53E6"/>
    <w:rsid w:val="008D6209"/>
    <w:rsid w:val="008D624B"/>
    <w:rsid w:val="008D66A6"/>
    <w:rsid w:val="008D6BE2"/>
    <w:rsid w:val="008D70BC"/>
    <w:rsid w:val="008D721C"/>
    <w:rsid w:val="008D750E"/>
    <w:rsid w:val="008D7514"/>
    <w:rsid w:val="008D77F5"/>
    <w:rsid w:val="008D7E55"/>
    <w:rsid w:val="008D7E74"/>
    <w:rsid w:val="008E0394"/>
    <w:rsid w:val="008E061C"/>
    <w:rsid w:val="008E0AC0"/>
    <w:rsid w:val="008E0D4B"/>
    <w:rsid w:val="008E0F71"/>
    <w:rsid w:val="008E18DF"/>
    <w:rsid w:val="008E2004"/>
    <w:rsid w:val="008E221A"/>
    <w:rsid w:val="008E225A"/>
    <w:rsid w:val="008E24D2"/>
    <w:rsid w:val="008E2773"/>
    <w:rsid w:val="008E28D8"/>
    <w:rsid w:val="008E2B31"/>
    <w:rsid w:val="008E3634"/>
    <w:rsid w:val="008E36B7"/>
    <w:rsid w:val="008E3983"/>
    <w:rsid w:val="008E3CDE"/>
    <w:rsid w:val="008E3CED"/>
    <w:rsid w:val="008E3FFE"/>
    <w:rsid w:val="008E459E"/>
    <w:rsid w:val="008E4809"/>
    <w:rsid w:val="008E4D40"/>
    <w:rsid w:val="008E5218"/>
    <w:rsid w:val="008E5287"/>
    <w:rsid w:val="008E5817"/>
    <w:rsid w:val="008E5F8A"/>
    <w:rsid w:val="008E60BE"/>
    <w:rsid w:val="008E63C9"/>
    <w:rsid w:val="008E647E"/>
    <w:rsid w:val="008E667A"/>
    <w:rsid w:val="008E692A"/>
    <w:rsid w:val="008E6A21"/>
    <w:rsid w:val="008E6B74"/>
    <w:rsid w:val="008E6C3E"/>
    <w:rsid w:val="008E70F4"/>
    <w:rsid w:val="008E7D7B"/>
    <w:rsid w:val="008E7EAB"/>
    <w:rsid w:val="008F05C0"/>
    <w:rsid w:val="008F0FAF"/>
    <w:rsid w:val="008F147F"/>
    <w:rsid w:val="008F1567"/>
    <w:rsid w:val="008F1E1A"/>
    <w:rsid w:val="008F23C8"/>
    <w:rsid w:val="008F24FF"/>
    <w:rsid w:val="008F29EA"/>
    <w:rsid w:val="008F365E"/>
    <w:rsid w:val="008F3B5E"/>
    <w:rsid w:val="008F3F8F"/>
    <w:rsid w:val="008F4621"/>
    <w:rsid w:val="008F46CD"/>
    <w:rsid w:val="008F489A"/>
    <w:rsid w:val="008F5289"/>
    <w:rsid w:val="008F5B37"/>
    <w:rsid w:val="008F6480"/>
    <w:rsid w:val="008F6B9D"/>
    <w:rsid w:val="008F7740"/>
    <w:rsid w:val="008F78E2"/>
    <w:rsid w:val="0090046D"/>
    <w:rsid w:val="00900BAC"/>
    <w:rsid w:val="00900CA2"/>
    <w:rsid w:val="00900E13"/>
    <w:rsid w:val="00900E48"/>
    <w:rsid w:val="0090107A"/>
    <w:rsid w:val="0090143A"/>
    <w:rsid w:val="00901824"/>
    <w:rsid w:val="00901AB2"/>
    <w:rsid w:val="00903033"/>
    <w:rsid w:val="00903653"/>
    <w:rsid w:val="00903C87"/>
    <w:rsid w:val="00903CD7"/>
    <w:rsid w:val="0090420A"/>
    <w:rsid w:val="009047F5"/>
    <w:rsid w:val="00904CED"/>
    <w:rsid w:val="0090508C"/>
    <w:rsid w:val="00906121"/>
    <w:rsid w:val="00907147"/>
    <w:rsid w:val="00907217"/>
    <w:rsid w:val="009075BE"/>
    <w:rsid w:val="0090776D"/>
    <w:rsid w:val="00907BD3"/>
    <w:rsid w:val="00907E47"/>
    <w:rsid w:val="009100B5"/>
    <w:rsid w:val="00910A52"/>
    <w:rsid w:val="00910B37"/>
    <w:rsid w:val="00911479"/>
    <w:rsid w:val="009117FB"/>
    <w:rsid w:val="0091217A"/>
    <w:rsid w:val="009129C6"/>
    <w:rsid w:val="00912EB5"/>
    <w:rsid w:val="0091310A"/>
    <w:rsid w:val="00913B0B"/>
    <w:rsid w:val="009140AC"/>
    <w:rsid w:val="0091484D"/>
    <w:rsid w:val="00914D67"/>
    <w:rsid w:val="00914D9E"/>
    <w:rsid w:val="00914EF4"/>
    <w:rsid w:val="00914F44"/>
    <w:rsid w:val="00914F4C"/>
    <w:rsid w:val="00915473"/>
    <w:rsid w:val="00915718"/>
    <w:rsid w:val="00915E20"/>
    <w:rsid w:val="00915EEC"/>
    <w:rsid w:val="00915F9C"/>
    <w:rsid w:val="0091601D"/>
    <w:rsid w:val="009166EA"/>
    <w:rsid w:val="009166F5"/>
    <w:rsid w:val="00917073"/>
    <w:rsid w:val="009173DC"/>
    <w:rsid w:val="00917478"/>
    <w:rsid w:val="00917BDA"/>
    <w:rsid w:val="0092038D"/>
    <w:rsid w:val="009205C3"/>
    <w:rsid w:val="00920FD7"/>
    <w:rsid w:val="009217EC"/>
    <w:rsid w:val="00921C41"/>
    <w:rsid w:val="00921E96"/>
    <w:rsid w:val="00922EFF"/>
    <w:rsid w:val="00923682"/>
    <w:rsid w:val="00923C81"/>
    <w:rsid w:val="00923E44"/>
    <w:rsid w:val="00924130"/>
    <w:rsid w:val="009241B3"/>
    <w:rsid w:val="0092435C"/>
    <w:rsid w:val="00924412"/>
    <w:rsid w:val="009249C6"/>
    <w:rsid w:val="009251B5"/>
    <w:rsid w:val="00925413"/>
    <w:rsid w:val="0092575D"/>
    <w:rsid w:val="0092583A"/>
    <w:rsid w:val="00925E71"/>
    <w:rsid w:val="00925F9A"/>
    <w:rsid w:val="009264B9"/>
    <w:rsid w:val="00926B85"/>
    <w:rsid w:val="009274C1"/>
    <w:rsid w:val="00927C70"/>
    <w:rsid w:val="00930745"/>
    <w:rsid w:val="0093100A"/>
    <w:rsid w:val="009310B9"/>
    <w:rsid w:val="009311DC"/>
    <w:rsid w:val="00931840"/>
    <w:rsid w:val="00931991"/>
    <w:rsid w:val="00931CB1"/>
    <w:rsid w:val="00932131"/>
    <w:rsid w:val="009324DF"/>
    <w:rsid w:val="00932768"/>
    <w:rsid w:val="00932A3E"/>
    <w:rsid w:val="00932F9F"/>
    <w:rsid w:val="00933016"/>
    <w:rsid w:val="0093329F"/>
    <w:rsid w:val="009333E2"/>
    <w:rsid w:val="009337A2"/>
    <w:rsid w:val="009337C1"/>
    <w:rsid w:val="0093411D"/>
    <w:rsid w:val="00934505"/>
    <w:rsid w:val="0093461F"/>
    <w:rsid w:val="0093482A"/>
    <w:rsid w:val="009358AD"/>
    <w:rsid w:val="00936C3C"/>
    <w:rsid w:val="00936EE8"/>
    <w:rsid w:val="00936FEF"/>
    <w:rsid w:val="00937043"/>
    <w:rsid w:val="0093767A"/>
    <w:rsid w:val="00937E99"/>
    <w:rsid w:val="00940185"/>
    <w:rsid w:val="0094095F"/>
    <w:rsid w:val="00940A2B"/>
    <w:rsid w:val="00940C40"/>
    <w:rsid w:val="00941A1E"/>
    <w:rsid w:val="00942001"/>
    <w:rsid w:val="009437DB"/>
    <w:rsid w:val="0094391C"/>
    <w:rsid w:val="00943A54"/>
    <w:rsid w:val="00943B65"/>
    <w:rsid w:val="00943E42"/>
    <w:rsid w:val="00943F97"/>
    <w:rsid w:val="009440D2"/>
    <w:rsid w:val="009441F8"/>
    <w:rsid w:val="009445D3"/>
    <w:rsid w:val="0094478F"/>
    <w:rsid w:val="00944E43"/>
    <w:rsid w:val="00945154"/>
    <w:rsid w:val="0094542A"/>
    <w:rsid w:val="00945729"/>
    <w:rsid w:val="009458E8"/>
    <w:rsid w:val="00945973"/>
    <w:rsid w:val="00945A8F"/>
    <w:rsid w:val="00945D1D"/>
    <w:rsid w:val="00946083"/>
    <w:rsid w:val="009472F5"/>
    <w:rsid w:val="00947C70"/>
    <w:rsid w:val="00947E9D"/>
    <w:rsid w:val="0095142E"/>
    <w:rsid w:val="00951926"/>
    <w:rsid w:val="00951A4C"/>
    <w:rsid w:val="00951CD7"/>
    <w:rsid w:val="00952206"/>
    <w:rsid w:val="009523B8"/>
    <w:rsid w:val="00952550"/>
    <w:rsid w:val="009525C8"/>
    <w:rsid w:val="00952BC2"/>
    <w:rsid w:val="009531D8"/>
    <w:rsid w:val="00953500"/>
    <w:rsid w:val="009535CC"/>
    <w:rsid w:val="00953C45"/>
    <w:rsid w:val="00953CBA"/>
    <w:rsid w:val="00954243"/>
    <w:rsid w:val="0095459A"/>
    <w:rsid w:val="009549E1"/>
    <w:rsid w:val="00954BCD"/>
    <w:rsid w:val="00955166"/>
    <w:rsid w:val="0095599E"/>
    <w:rsid w:val="00955A8A"/>
    <w:rsid w:val="009568BA"/>
    <w:rsid w:val="009568CE"/>
    <w:rsid w:val="00956F98"/>
    <w:rsid w:val="00956F9F"/>
    <w:rsid w:val="00957545"/>
    <w:rsid w:val="00957B3A"/>
    <w:rsid w:val="00957E24"/>
    <w:rsid w:val="00960405"/>
    <w:rsid w:val="009607D6"/>
    <w:rsid w:val="0096117E"/>
    <w:rsid w:val="0096167A"/>
    <w:rsid w:val="00961E49"/>
    <w:rsid w:val="0096290F"/>
    <w:rsid w:val="0096293F"/>
    <w:rsid w:val="00962B92"/>
    <w:rsid w:val="00963132"/>
    <w:rsid w:val="00963367"/>
    <w:rsid w:val="00963D3C"/>
    <w:rsid w:val="00963DD2"/>
    <w:rsid w:val="00963DE4"/>
    <w:rsid w:val="00963E75"/>
    <w:rsid w:val="0096400D"/>
    <w:rsid w:val="00964021"/>
    <w:rsid w:val="00964078"/>
    <w:rsid w:val="00964487"/>
    <w:rsid w:val="009645BC"/>
    <w:rsid w:val="0096490F"/>
    <w:rsid w:val="009653AC"/>
    <w:rsid w:val="009656D5"/>
    <w:rsid w:val="00965AB4"/>
    <w:rsid w:val="00965F5F"/>
    <w:rsid w:val="009663C8"/>
    <w:rsid w:val="00966600"/>
    <w:rsid w:val="00966A81"/>
    <w:rsid w:val="009671B2"/>
    <w:rsid w:val="009671D9"/>
    <w:rsid w:val="00967276"/>
    <w:rsid w:val="00967476"/>
    <w:rsid w:val="00967A5F"/>
    <w:rsid w:val="00967AD1"/>
    <w:rsid w:val="00967B5B"/>
    <w:rsid w:val="00967CD7"/>
    <w:rsid w:val="00967D1D"/>
    <w:rsid w:val="009700A5"/>
    <w:rsid w:val="00970359"/>
    <w:rsid w:val="0097037D"/>
    <w:rsid w:val="00970543"/>
    <w:rsid w:val="009706AA"/>
    <w:rsid w:val="009707CE"/>
    <w:rsid w:val="00970884"/>
    <w:rsid w:val="009710BE"/>
    <w:rsid w:val="00971352"/>
    <w:rsid w:val="009713FB"/>
    <w:rsid w:val="0097148C"/>
    <w:rsid w:val="00971831"/>
    <w:rsid w:val="00971841"/>
    <w:rsid w:val="00971EBB"/>
    <w:rsid w:val="009726D1"/>
    <w:rsid w:val="0097292D"/>
    <w:rsid w:val="00972A8B"/>
    <w:rsid w:val="00972CCF"/>
    <w:rsid w:val="0097312B"/>
    <w:rsid w:val="00974DD3"/>
    <w:rsid w:val="00975AE8"/>
    <w:rsid w:val="00975C92"/>
    <w:rsid w:val="00975E5B"/>
    <w:rsid w:val="00975E8E"/>
    <w:rsid w:val="00975F51"/>
    <w:rsid w:val="00976679"/>
    <w:rsid w:val="00976860"/>
    <w:rsid w:val="00976970"/>
    <w:rsid w:val="00976CD6"/>
    <w:rsid w:val="00976D48"/>
    <w:rsid w:val="00976F22"/>
    <w:rsid w:val="00976FF9"/>
    <w:rsid w:val="009779B1"/>
    <w:rsid w:val="009779F8"/>
    <w:rsid w:val="00977C8F"/>
    <w:rsid w:val="00977F94"/>
    <w:rsid w:val="00977FAE"/>
    <w:rsid w:val="00977FE8"/>
    <w:rsid w:val="0098025E"/>
    <w:rsid w:val="00980A1F"/>
    <w:rsid w:val="00980CDD"/>
    <w:rsid w:val="00981131"/>
    <w:rsid w:val="0098115E"/>
    <w:rsid w:val="009815DE"/>
    <w:rsid w:val="00982A83"/>
    <w:rsid w:val="00982BD1"/>
    <w:rsid w:val="00982F57"/>
    <w:rsid w:val="009832C8"/>
    <w:rsid w:val="00983326"/>
    <w:rsid w:val="0098336D"/>
    <w:rsid w:val="009836F9"/>
    <w:rsid w:val="0098418E"/>
    <w:rsid w:val="00984BB5"/>
    <w:rsid w:val="0098515D"/>
    <w:rsid w:val="00985313"/>
    <w:rsid w:val="009853B5"/>
    <w:rsid w:val="009863E9"/>
    <w:rsid w:val="0098757B"/>
    <w:rsid w:val="00987CBC"/>
    <w:rsid w:val="00987D41"/>
    <w:rsid w:val="00987E95"/>
    <w:rsid w:val="00987F75"/>
    <w:rsid w:val="0099050D"/>
    <w:rsid w:val="009905C4"/>
    <w:rsid w:val="009918FE"/>
    <w:rsid w:val="00991A04"/>
    <w:rsid w:val="00991EEC"/>
    <w:rsid w:val="00991F31"/>
    <w:rsid w:val="00991FDD"/>
    <w:rsid w:val="00992E20"/>
    <w:rsid w:val="009935DF"/>
    <w:rsid w:val="009936FC"/>
    <w:rsid w:val="00993925"/>
    <w:rsid w:val="00993977"/>
    <w:rsid w:val="00993A00"/>
    <w:rsid w:val="00993B8B"/>
    <w:rsid w:val="0099419F"/>
    <w:rsid w:val="009944BD"/>
    <w:rsid w:val="00995D8B"/>
    <w:rsid w:val="009969B5"/>
    <w:rsid w:val="00996D2E"/>
    <w:rsid w:val="00997244"/>
    <w:rsid w:val="00997BDB"/>
    <w:rsid w:val="009A05D1"/>
    <w:rsid w:val="009A0628"/>
    <w:rsid w:val="009A063D"/>
    <w:rsid w:val="009A0920"/>
    <w:rsid w:val="009A09A7"/>
    <w:rsid w:val="009A1386"/>
    <w:rsid w:val="009A1FD3"/>
    <w:rsid w:val="009A28AC"/>
    <w:rsid w:val="009A2B14"/>
    <w:rsid w:val="009A319A"/>
    <w:rsid w:val="009A37D9"/>
    <w:rsid w:val="009A3A5B"/>
    <w:rsid w:val="009A3F2A"/>
    <w:rsid w:val="009A40A8"/>
    <w:rsid w:val="009A467D"/>
    <w:rsid w:val="009A48E0"/>
    <w:rsid w:val="009A56D0"/>
    <w:rsid w:val="009A6671"/>
    <w:rsid w:val="009A6D7D"/>
    <w:rsid w:val="009A6F60"/>
    <w:rsid w:val="009A72D4"/>
    <w:rsid w:val="009A73D8"/>
    <w:rsid w:val="009A7FCB"/>
    <w:rsid w:val="009B03AF"/>
    <w:rsid w:val="009B09E7"/>
    <w:rsid w:val="009B1337"/>
    <w:rsid w:val="009B1707"/>
    <w:rsid w:val="009B19C3"/>
    <w:rsid w:val="009B1BFA"/>
    <w:rsid w:val="009B1C62"/>
    <w:rsid w:val="009B1F41"/>
    <w:rsid w:val="009B2794"/>
    <w:rsid w:val="009B27D5"/>
    <w:rsid w:val="009B2AAC"/>
    <w:rsid w:val="009B2B6D"/>
    <w:rsid w:val="009B3298"/>
    <w:rsid w:val="009B3521"/>
    <w:rsid w:val="009B35C8"/>
    <w:rsid w:val="009B370B"/>
    <w:rsid w:val="009B37CF"/>
    <w:rsid w:val="009B3D5F"/>
    <w:rsid w:val="009B445A"/>
    <w:rsid w:val="009B4B94"/>
    <w:rsid w:val="009B4BEC"/>
    <w:rsid w:val="009B4CE5"/>
    <w:rsid w:val="009B541C"/>
    <w:rsid w:val="009B5505"/>
    <w:rsid w:val="009B554C"/>
    <w:rsid w:val="009B5A06"/>
    <w:rsid w:val="009B6291"/>
    <w:rsid w:val="009B659F"/>
    <w:rsid w:val="009B6B8B"/>
    <w:rsid w:val="009B6E27"/>
    <w:rsid w:val="009B6FD2"/>
    <w:rsid w:val="009B706A"/>
    <w:rsid w:val="009B7404"/>
    <w:rsid w:val="009B786F"/>
    <w:rsid w:val="009B7A52"/>
    <w:rsid w:val="009C076C"/>
    <w:rsid w:val="009C14A1"/>
    <w:rsid w:val="009C14F7"/>
    <w:rsid w:val="009C1B70"/>
    <w:rsid w:val="009C3B19"/>
    <w:rsid w:val="009C3B8F"/>
    <w:rsid w:val="009C413A"/>
    <w:rsid w:val="009C4460"/>
    <w:rsid w:val="009C4671"/>
    <w:rsid w:val="009C4706"/>
    <w:rsid w:val="009C472B"/>
    <w:rsid w:val="009C5322"/>
    <w:rsid w:val="009C5345"/>
    <w:rsid w:val="009C554D"/>
    <w:rsid w:val="009C5613"/>
    <w:rsid w:val="009C5992"/>
    <w:rsid w:val="009C6210"/>
    <w:rsid w:val="009C642E"/>
    <w:rsid w:val="009C78B8"/>
    <w:rsid w:val="009C7FBF"/>
    <w:rsid w:val="009D03A0"/>
    <w:rsid w:val="009D0462"/>
    <w:rsid w:val="009D05C1"/>
    <w:rsid w:val="009D1DA5"/>
    <w:rsid w:val="009D2C16"/>
    <w:rsid w:val="009D36F1"/>
    <w:rsid w:val="009D3BEF"/>
    <w:rsid w:val="009D3D6B"/>
    <w:rsid w:val="009D4166"/>
    <w:rsid w:val="009D4F56"/>
    <w:rsid w:val="009D5239"/>
    <w:rsid w:val="009D52C6"/>
    <w:rsid w:val="009D543C"/>
    <w:rsid w:val="009D5528"/>
    <w:rsid w:val="009D56A2"/>
    <w:rsid w:val="009D575F"/>
    <w:rsid w:val="009D598D"/>
    <w:rsid w:val="009D59BB"/>
    <w:rsid w:val="009D5A66"/>
    <w:rsid w:val="009D5CC0"/>
    <w:rsid w:val="009D641E"/>
    <w:rsid w:val="009D6740"/>
    <w:rsid w:val="009D6BBA"/>
    <w:rsid w:val="009D7167"/>
    <w:rsid w:val="009D7192"/>
    <w:rsid w:val="009D7223"/>
    <w:rsid w:val="009D7570"/>
    <w:rsid w:val="009D7EE8"/>
    <w:rsid w:val="009D7F6F"/>
    <w:rsid w:val="009E0E38"/>
    <w:rsid w:val="009E0F96"/>
    <w:rsid w:val="009E1243"/>
    <w:rsid w:val="009E1A35"/>
    <w:rsid w:val="009E1C5A"/>
    <w:rsid w:val="009E1DB4"/>
    <w:rsid w:val="009E2375"/>
    <w:rsid w:val="009E2B94"/>
    <w:rsid w:val="009E2D23"/>
    <w:rsid w:val="009E33D4"/>
    <w:rsid w:val="009E38A2"/>
    <w:rsid w:val="009E3EDF"/>
    <w:rsid w:val="009E4D49"/>
    <w:rsid w:val="009E5096"/>
    <w:rsid w:val="009E594C"/>
    <w:rsid w:val="009E688D"/>
    <w:rsid w:val="009E6B67"/>
    <w:rsid w:val="009E6ECF"/>
    <w:rsid w:val="009E6EEF"/>
    <w:rsid w:val="009E6F65"/>
    <w:rsid w:val="009E6FD1"/>
    <w:rsid w:val="009E7199"/>
    <w:rsid w:val="009E71EC"/>
    <w:rsid w:val="009E7969"/>
    <w:rsid w:val="009E7C3A"/>
    <w:rsid w:val="009F01BE"/>
    <w:rsid w:val="009F09AA"/>
    <w:rsid w:val="009F0AB1"/>
    <w:rsid w:val="009F0BC9"/>
    <w:rsid w:val="009F10A6"/>
    <w:rsid w:val="009F12A5"/>
    <w:rsid w:val="009F1340"/>
    <w:rsid w:val="009F1BAE"/>
    <w:rsid w:val="009F1C49"/>
    <w:rsid w:val="009F2754"/>
    <w:rsid w:val="009F2AC6"/>
    <w:rsid w:val="009F2BDB"/>
    <w:rsid w:val="009F2C16"/>
    <w:rsid w:val="009F2C1B"/>
    <w:rsid w:val="009F2DF6"/>
    <w:rsid w:val="009F2F78"/>
    <w:rsid w:val="009F2FBD"/>
    <w:rsid w:val="009F3029"/>
    <w:rsid w:val="009F335C"/>
    <w:rsid w:val="009F5039"/>
    <w:rsid w:val="009F5A14"/>
    <w:rsid w:val="009F615D"/>
    <w:rsid w:val="009F6F4B"/>
    <w:rsid w:val="009F708C"/>
    <w:rsid w:val="009F7283"/>
    <w:rsid w:val="009F7987"/>
    <w:rsid w:val="009F7FA6"/>
    <w:rsid w:val="00A002B5"/>
    <w:rsid w:val="00A0081D"/>
    <w:rsid w:val="00A00FBE"/>
    <w:rsid w:val="00A01F4A"/>
    <w:rsid w:val="00A0260C"/>
    <w:rsid w:val="00A0286B"/>
    <w:rsid w:val="00A02AFE"/>
    <w:rsid w:val="00A02EFB"/>
    <w:rsid w:val="00A0311F"/>
    <w:rsid w:val="00A0352E"/>
    <w:rsid w:val="00A03813"/>
    <w:rsid w:val="00A041B5"/>
    <w:rsid w:val="00A042E4"/>
    <w:rsid w:val="00A04E5D"/>
    <w:rsid w:val="00A04F8C"/>
    <w:rsid w:val="00A05158"/>
    <w:rsid w:val="00A053EB"/>
    <w:rsid w:val="00A05E3D"/>
    <w:rsid w:val="00A067E8"/>
    <w:rsid w:val="00A0706E"/>
    <w:rsid w:val="00A07559"/>
    <w:rsid w:val="00A07D50"/>
    <w:rsid w:val="00A102AD"/>
    <w:rsid w:val="00A103F3"/>
    <w:rsid w:val="00A103F7"/>
    <w:rsid w:val="00A105BD"/>
    <w:rsid w:val="00A10873"/>
    <w:rsid w:val="00A10C76"/>
    <w:rsid w:val="00A11370"/>
    <w:rsid w:val="00A11627"/>
    <w:rsid w:val="00A11733"/>
    <w:rsid w:val="00A11A30"/>
    <w:rsid w:val="00A11D81"/>
    <w:rsid w:val="00A123ED"/>
    <w:rsid w:val="00A12DFB"/>
    <w:rsid w:val="00A12F05"/>
    <w:rsid w:val="00A13AD2"/>
    <w:rsid w:val="00A13BF5"/>
    <w:rsid w:val="00A1428B"/>
    <w:rsid w:val="00A1474E"/>
    <w:rsid w:val="00A14837"/>
    <w:rsid w:val="00A14857"/>
    <w:rsid w:val="00A148C1"/>
    <w:rsid w:val="00A153E2"/>
    <w:rsid w:val="00A15722"/>
    <w:rsid w:val="00A15ADD"/>
    <w:rsid w:val="00A1671F"/>
    <w:rsid w:val="00A16BA6"/>
    <w:rsid w:val="00A16F61"/>
    <w:rsid w:val="00A175DA"/>
    <w:rsid w:val="00A17E9D"/>
    <w:rsid w:val="00A2044A"/>
    <w:rsid w:val="00A20815"/>
    <w:rsid w:val="00A20BA8"/>
    <w:rsid w:val="00A2159A"/>
    <w:rsid w:val="00A216F5"/>
    <w:rsid w:val="00A21C98"/>
    <w:rsid w:val="00A21EF7"/>
    <w:rsid w:val="00A2212D"/>
    <w:rsid w:val="00A225E3"/>
    <w:rsid w:val="00A229F8"/>
    <w:rsid w:val="00A23A26"/>
    <w:rsid w:val="00A23A7A"/>
    <w:rsid w:val="00A247F4"/>
    <w:rsid w:val="00A24A8F"/>
    <w:rsid w:val="00A24F40"/>
    <w:rsid w:val="00A2568A"/>
    <w:rsid w:val="00A25708"/>
    <w:rsid w:val="00A25AB3"/>
    <w:rsid w:val="00A25BF0"/>
    <w:rsid w:val="00A25C83"/>
    <w:rsid w:val="00A25F2D"/>
    <w:rsid w:val="00A262AA"/>
    <w:rsid w:val="00A26BFA"/>
    <w:rsid w:val="00A26CA4"/>
    <w:rsid w:val="00A26EEA"/>
    <w:rsid w:val="00A277E6"/>
    <w:rsid w:val="00A278E7"/>
    <w:rsid w:val="00A2796B"/>
    <w:rsid w:val="00A300D6"/>
    <w:rsid w:val="00A3026E"/>
    <w:rsid w:val="00A30B1F"/>
    <w:rsid w:val="00A314CE"/>
    <w:rsid w:val="00A31554"/>
    <w:rsid w:val="00A315C5"/>
    <w:rsid w:val="00A3183D"/>
    <w:rsid w:val="00A31857"/>
    <w:rsid w:val="00A31918"/>
    <w:rsid w:val="00A31B60"/>
    <w:rsid w:val="00A31F0B"/>
    <w:rsid w:val="00A32042"/>
    <w:rsid w:val="00A32052"/>
    <w:rsid w:val="00A320F4"/>
    <w:rsid w:val="00A321B4"/>
    <w:rsid w:val="00A3291B"/>
    <w:rsid w:val="00A3296A"/>
    <w:rsid w:val="00A331A6"/>
    <w:rsid w:val="00A331B3"/>
    <w:rsid w:val="00A33691"/>
    <w:rsid w:val="00A336AE"/>
    <w:rsid w:val="00A33D3A"/>
    <w:rsid w:val="00A33E01"/>
    <w:rsid w:val="00A34136"/>
    <w:rsid w:val="00A368E8"/>
    <w:rsid w:val="00A36C34"/>
    <w:rsid w:val="00A371C0"/>
    <w:rsid w:val="00A3756D"/>
    <w:rsid w:val="00A376A3"/>
    <w:rsid w:val="00A37945"/>
    <w:rsid w:val="00A403A5"/>
    <w:rsid w:val="00A40884"/>
    <w:rsid w:val="00A40AD0"/>
    <w:rsid w:val="00A40AFA"/>
    <w:rsid w:val="00A40E3B"/>
    <w:rsid w:val="00A424B3"/>
    <w:rsid w:val="00A42BEA"/>
    <w:rsid w:val="00A42C12"/>
    <w:rsid w:val="00A43093"/>
    <w:rsid w:val="00A43786"/>
    <w:rsid w:val="00A43F29"/>
    <w:rsid w:val="00A43F34"/>
    <w:rsid w:val="00A45287"/>
    <w:rsid w:val="00A452DC"/>
    <w:rsid w:val="00A4576A"/>
    <w:rsid w:val="00A45AD0"/>
    <w:rsid w:val="00A45EE9"/>
    <w:rsid w:val="00A4667A"/>
    <w:rsid w:val="00A46711"/>
    <w:rsid w:val="00A46A53"/>
    <w:rsid w:val="00A46E3A"/>
    <w:rsid w:val="00A46FE8"/>
    <w:rsid w:val="00A47360"/>
    <w:rsid w:val="00A47564"/>
    <w:rsid w:val="00A47A81"/>
    <w:rsid w:val="00A47B00"/>
    <w:rsid w:val="00A47BD5"/>
    <w:rsid w:val="00A47D18"/>
    <w:rsid w:val="00A5010D"/>
    <w:rsid w:val="00A5013C"/>
    <w:rsid w:val="00A506FC"/>
    <w:rsid w:val="00A5090E"/>
    <w:rsid w:val="00A50F16"/>
    <w:rsid w:val="00A51968"/>
    <w:rsid w:val="00A522C1"/>
    <w:rsid w:val="00A5279E"/>
    <w:rsid w:val="00A5283F"/>
    <w:rsid w:val="00A529AF"/>
    <w:rsid w:val="00A52F32"/>
    <w:rsid w:val="00A5319B"/>
    <w:rsid w:val="00A53374"/>
    <w:rsid w:val="00A533AC"/>
    <w:rsid w:val="00A53774"/>
    <w:rsid w:val="00A53C14"/>
    <w:rsid w:val="00A541C2"/>
    <w:rsid w:val="00A54778"/>
    <w:rsid w:val="00A54817"/>
    <w:rsid w:val="00A5526E"/>
    <w:rsid w:val="00A56188"/>
    <w:rsid w:val="00A564C4"/>
    <w:rsid w:val="00A57127"/>
    <w:rsid w:val="00A57689"/>
    <w:rsid w:val="00A5768A"/>
    <w:rsid w:val="00A57C4B"/>
    <w:rsid w:val="00A57D48"/>
    <w:rsid w:val="00A60DDF"/>
    <w:rsid w:val="00A61058"/>
    <w:rsid w:val="00A61362"/>
    <w:rsid w:val="00A61410"/>
    <w:rsid w:val="00A6198A"/>
    <w:rsid w:val="00A62AA8"/>
    <w:rsid w:val="00A62AC3"/>
    <w:rsid w:val="00A63248"/>
    <w:rsid w:val="00A63CF7"/>
    <w:rsid w:val="00A63E26"/>
    <w:rsid w:val="00A64536"/>
    <w:rsid w:val="00A645AA"/>
    <w:rsid w:val="00A646BF"/>
    <w:rsid w:val="00A6470D"/>
    <w:rsid w:val="00A649CF"/>
    <w:rsid w:val="00A64A75"/>
    <w:rsid w:val="00A64F58"/>
    <w:rsid w:val="00A65108"/>
    <w:rsid w:val="00A65438"/>
    <w:rsid w:val="00A65760"/>
    <w:rsid w:val="00A65D86"/>
    <w:rsid w:val="00A660BD"/>
    <w:rsid w:val="00A66140"/>
    <w:rsid w:val="00A665E6"/>
    <w:rsid w:val="00A668D0"/>
    <w:rsid w:val="00A66B1B"/>
    <w:rsid w:val="00A66C40"/>
    <w:rsid w:val="00A673E9"/>
    <w:rsid w:val="00A67FAF"/>
    <w:rsid w:val="00A7037E"/>
    <w:rsid w:val="00A705AD"/>
    <w:rsid w:val="00A7067F"/>
    <w:rsid w:val="00A706D7"/>
    <w:rsid w:val="00A70767"/>
    <w:rsid w:val="00A707A7"/>
    <w:rsid w:val="00A70D31"/>
    <w:rsid w:val="00A713C4"/>
    <w:rsid w:val="00A71790"/>
    <w:rsid w:val="00A718FD"/>
    <w:rsid w:val="00A719D9"/>
    <w:rsid w:val="00A72341"/>
    <w:rsid w:val="00A72486"/>
    <w:rsid w:val="00A728D3"/>
    <w:rsid w:val="00A739C0"/>
    <w:rsid w:val="00A73A83"/>
    <w:rsid w:val="00A73BFB"/>
    <w:rsid w:val="00A7472D"/>
    <w:rsid w:val="00A74F10"/>
    <w:rsid w:val="00A75373"/>
    <w:rsid w:val="00A75447"/>
    <w:rsid w:val="00A757E2"/>
    <w:rsid w:val="00A76125"/>
    <w:rsid w:val="00A77102"/>
    <w:rsid w:val="00A7712B"/>
    <w:rsid w:val="00A77138"/>
    <w:rsid w:val="00A7754F"/>
    <w:rsid w:val="00A776ED"/>
    <w:rsid w:val="00A77804"/>
    <w:rsid w:val="00A778AA"/>
    <w:rsid w:val="00A779C0"/>
    <w:rsid w:val="00A77AD8"/>
    <w:rsid w:val="00A77BDA"/>
    <w:rsid w:val="00A77EA2"/>
    <w:rsid w:val="00A80E50"/>
    <w:rsid w:val="00A80FEC"/>
    <w:rsid w:val="00A811B6"/>
    <w:rsid w:val="00A81279"/>
    <w:rsid w:val="00A813B1"/>
    <w:rsid w:val="00A82123"/>
    <w:rsid w:val="00A82800"/>
    <w:rsid w:val="00A83663"/>
    <w:rsid w:val="00A83741"/>
    <w:rsid w:val="00A83B0F"/>
    <w:rsid w:val="00A84216"/>
    <w:rsid w:val="00A844E8"/>
    <w:rsid w:val="00A8511A"/>
    <w:rsid w:val="00A855E0"/>
    <w:rsid w:val="00A859EC"/>
    <w:rsid w:val="00A8660A"/>
    <w:rsid w:val="00A87974"/>
    <w:rsid w:val="00A87B61"/>
    <w:rsid w:val="00A905E6"/>
    <w:rsid w:val="00A90BFA"/>
    <w:rsid w:val="00A90C89"/>
    <w:rsid w:val="00A912C2"/>
    <w:rsid w:val="00A91433"/>
    <w:rsid w:val="00A9260A"/>
    <w:rsid w:val="00A92AE0"/>
    <w:rsid w:val="00A92B85"/>
    <w:rsid w:val="00A92B93"/>
    <w:rsid w:val="00A92BF3"/>
    <w:rsid w:val="00A92E53"/>
    <w:rsid w:val="00A93830"/>
    <w:rsid w:val="00A9385F"/>
    <w:rsid w:val="00A938CB"/>
    <w:rsid w:val="00A93C3E"/>
    <w:rsid w:val="00A93D82"/>
    <w:rsid w:val="00A943C8"/>
    <w:rsid w:val="00A94AB3"/>
    <w:rsid w:val="00A94FFA"/>
    <w:rsid w:val="00A950A4"/>
    <w:rsid w:val="00A9520D"/>
    <w:rsid w:val="00A9596F"/>
    <w:rsid w:val="00A95D26"/>
    <w:rsid w:val="00A95DE6"/>
    <w:rsid w:val="00A96012"/>
    <w:rsid w:val="00A96479"/>
    <w:rsid w:val="00A96588"/>
    <w:rsid w:val="00A96635"/>
    <w:rsid w:val="00A96CD7"/>
    <w:rsid w:val="00A96F9E"/>
    <w:rsid w:val="00A97026"/>
    <w:rsid w:val="00A9747D"/>
    <w:rsid w:val="00A976D4"/>
    <w:rsid w:val="00AA00A6"/>
    <w:rsid w:val="00AA02E4"/>
    <w:rsid w:val="00AA0DD0"/>
    <w:rsid w:val="00AA0FD3"/>
    <w:rsid w:val="00AA128D"/>
    <w:rsid w:val="00AA1830"/>
    <w:rsid w:val="00AA1AB1"/>
    <w:rsid w:val="00AA21BD"/>
    <w:rsid w:val="00AA24EF"/>
    <w:rsid w:val="00AA2AD2"/>
    <w:rsid w:val="00AA2B6B"/>
    <w:rsid w:val="00AA2D3D"/>
    <w:rsid w:val="00AA3922"/>
    <w:rsid w:val="00AA3DCD"/>
    <w:rsid w:val="00AA41E1"/>
    <w:rsid w:val="00AA4966"/>
    <w:rsid w:val="00AA4D18"/>
    <w:rsid w:val="00AA5053"/>
    <w:rsid w:val="00AA52B8"/>
    <w:rsid w:val="00AA5333"/>
    <w:rsid w:val="00AA5897"/>
    <w:rsid w:val="00AA5A75"/>
    <w:rsid w:val="00AA646F"/>
    <w:rsid w:val="00AA6B49"/>
    <w:rsid w:val="00AA6BA8"/>
    <w:rsid w:val="00AA757B"/>
    <w:rsid w:val="00AA7B14"/>
    <w:rsid w:val="00AA7B5F"/>
    <w:rsid w:val="00AA7F5A"/>
    <w:rsid w:val="00AA7F87"/>
    <w:rsid w:val="00AB0111"/>
    <w:rsid w:val="00AB0410"/>
    <w:rsid w:val="00AB09A5"/>
    <w:rsid w:val="00AB09D6"/>
    <w:rsid w:val="00AB0B6B"/>
    <w:rsid w:val="00AB0F69"/>
    <w:rsid w:val="00AB1A75"/>
    <w:rsid w:val="00AB21E6"/>
    <w:rsid w:val="00AB2340"/>
    <w:rsid w:val="00AB2463"/>
    <w:rsid w:val="00AB247E"/>
    <w:rsid w:val="00AB280E"/>
    <w:rsid w:val="00AB2C3E"/>
    <w:rsid w:val="00AB31A3"/>
    <w:rsid w:val="00AB3B10"/>
    <w:rsid w:val="00AB3CFC"/>
    <w:rsid w:val="00AB3EE2"/>
    <w:rsid w:val="00AB41AE"/>
    <w:rsid w:val="00AB4851"/>
    <w:rsid w:val="00AB4F95"/>
    <w:rsid w:val="00AB553D"/>
    <w:rsid w:val="00AB55FD"/>
    <w:rsid w:val="00AB5D36"/>
    <w:rsid w:val="00AB5E23"/>
    <w:rsid w:val="00AB5F1C"/>
    <w:rsid w:val="00AB5FE4"/>
    <w:rsid w:val="00AB659D"/>
    <w:rsid w:val="00AB6713"/>
    <w:rsid w:val="00AB6998"/>
    <w:rsid w:val="00AB6BA2"/>
    <w:rsid w:val="00AB6DBE"/>
    <w:rsid w:val="00AB6F76"/>
    <w:rsid w:val="00AB738A"/>
    <w:rsid w:val="00AB7476"/>
    <w:rsid w:val="00AB7869"/>
    <w:rsid w:val="00AC026E"/>
    <w:rsid w:val="00AC0392"/>
    <w:rsid w:val="00AC0AFF"/>
    <w:rsid w:val="00AC140C"/>
    <w:rsid w:val="00AC140E"/>
    <w:rsid w:val="00AC1567"/>
    <w:rsid w:val="00AC19AD"/>
    <w:rsid w:val="00AC229F"/>
    <w:rsid w:val="00AC252A"/>
    <w:rsid w:val="00AC25C5"/>
    <w:rsid w:val="00AC2E24"/>
    <w:rsid w:val="00AC32AB"/>
    <w:rsid w:val="00AC3FC0"/>
    <w:rsid w:val="00AC426C"/>
    <w:rsid w:val="00AC43CC"/>
    <w:rsid w:val="00AC4B85"/>
    <w:rsid w:val="00AC53A9"/>
    <w:rsid w:val="00AC5417"/>
    <w:rsid w:val="00AC5A5C"/>
    <w:rsid w:val="00AC5EA5"/>
    <w:rsid w:val="00AC60CA"/>
    <w:rsid w:val="00AC6351"/>
    <w:rsid w:val="00AC6D51"/>
    <w:rsid w:val="00AC6F58"/>
    <w:rsid w:val="00AC7A58"/>
    <w:rsid w:val="00AC7B00"/>
    <w:rsid w:val="00AC7C07"/>
    <w:rsid w:val="00AC7DF7"/>
    <w:rsid w:val="00AC7E86"/>
    <w:rsid w:val="00AC7F0A"/>
    <w:rsid w:val="00AD0614"/>
    <w:rsid w:val="00AD0FB6"/>
    <w:rsid w:val="00AD1D27"/>
    <w:rsid w:val="00AD2016"/>
    <w:rsid w:val="00AD2569"/>
    <w:rsid w:val="00AD3070"/>
    <w:rsid w:val="00AD3627"/>
    <w:rsid w:val="00AD3774"/>
    <w:rsid w:val="00AD3E47"/>
    <w:rsid w:val="00AD42E0"/>
    <w:rsid w:val="00AD4A0A"/>
    <w:rsid w:val="00AD4C32"/>
    <w:rsid w:val="00AD4D54"/>
    <w:rsid w:val="00AD4E7C"/>
    <w:rsid w:val="00AD4ED8"/>
    <w:rsid w:val="00AD575C"/>
    <w:rsid w:val="00AD592D"/>
    <w:rsid w:val="00AD5A3F"/>
    <w:rsid w:val="00AD718F"/>
    <w:rsid w:val="00AD7671"/>
    <w:rsid w:val="00AD7D1E"/>
    <w:rsid w:val="00AD7D7B"/>
    <w:rsid w:val="00AD7DA7"/>
    <w:rsid w:val="00AE05E6"/>
    <w:rsid w:val="00AE0B30"/>
    <w:rsid w:val="00AE1109"/>
    <w:rsid w:val="00AE14A2"/>
    <w:rsid w:val="00AE1966"/>
    <w:rsid w:val="00AE1F28"/>
    <w:rsid w:val="00AE1F75"/>
    <w:rsid w:val="00AE232C"/>
    <w:rsid w:val="00AE23C9"/>
    <w:rsid w:val="00AE2997"/>
    <w:rsid w:val="00AE2A21"/>
    <w:rsid w:val="00AE2CF7"/>
    <w:rsid w:val="00AE2D0C"/>
    <w:rsid w:val="00AE365B"/>
    <w:rsid w:val="00AE3939"/>
    <w:rsid w:val="00AE3D8F"/>
    <w:rsid w:val="00AE4119"/>
    <w:rsid w:val="00AE424D"/>
    <w:rsid w:val="00AE4AAF"/>
    <w:rsid w:val="00AE4EFA"/>
    <w:rsid w:val="00AE53E8"/>
    <w:rsid w:val="00AE5CF6"/>
    <w:rsid w:val="00AE5E09"/>
    <w:rsid w:val="00AE60CB"/>
    <w:rsid w:val="00AE639B"/>
    <w:rsid w:val="00AE6AF7"/>
    <w:rsid w:val="00AE6FE4"/>
    <w:rsid w:val="00AE781F"/>
    <w:rsid w:val="00AE7916"/>
    <w:rsid w:val="00AE7941"/>
    <w:rsid w:val="00AF048D"/>
    <w:rsid w:val="00AF1242"/>
    <w:rsid w:val="00AF138F"/>
    <w:rsid w:val="00AF13A6"/>
    <w:rsid w:val="00AF13F9"/>
    <w:rsid w:val="00AF1D2D"/>
    <w:rsid w:val="00AF1D5C"/>
    <w:rsid w:val="00AF2059"/>
    <w:rsid w:val="00AF2186"/>
    <w:rsid w:val="00AF25EC"/>
    <w:rsid w:val="00AF2F5F"/>
    <w:rsid w:val="00AF316C"/>
    <w:rsid w:val="00AF342D"/>
    <w:rsid w:val="00AF3769"/>
    <w:rsid w:val="00AF3941"/>
    <w:rsid w:val="00AF3AF2"/>
    <w:rsid w:val="00AF3D73"/>
    <w:rsid w:val="00AF3D84"/>
    <w:rsid w:val="00AF3F29"/>
    <w:rsid w:val="00AF4161"/>
    <w:rsid w:val="00AF45BD"/>
    <w:rsid w:val="00AF464F"/>
    <w:rsid w:val="00AF5044"/>
    <w:rsid w:val="00AF580B"/>
    <w:rsid w:val="00AF5E7E"/>
    <w:rsid w:val="00AF67F9"/>
    <w:rsid w:val="00AF6B5A"/>
    <w:rsid w:val="00AF6EB0"/>
    <w:rsid w:val="00AF6F6A"/>
    <w:rsid w:val="00AF70B9"/>
    <w:rsid w:val="00AF74B4"/>
    <w:rsid w:val="00AF76EA"/>
    <w:rsid w:val="00AF7AC6"/>
    <w:rsid w:val="00AF7ACC"/>
    <w:rsid w:val="00B00628"/>
    <w:rsid w:val="00B007C8"/>
    <w:rsid w:val="00B008AA"/>
    <w:rsid w:val="00B00A4D"/>
    <w:rsid w:val="00B00AAF"/>
    <w:rsid w:val="00B01442"/>
    <w:rsid w:val="00B015AA"/>
    <w:rsid w:val="00B02546"/>
    <w:rsid w:val="00B02B4D"/>
    <w:rsid w:val="00B02E2D"/>
    <w:rsid w:val="00B03205"/>
    <w:rsid w:val="00B03533"/>
    <w:rsid w:val="00B04059"/>
    <w:rsid w:val="00B04296"/>
    <w:rsid w:val="00B046FA"/>
    <w:rsid w:val="00B047B2"/>
    <w:rsid w:val="00B04999"/>
    <w:rsid w:val="00B04C3B"/>
    <w:rsid w:val="00B04CB5"/>
    <w:rsid w:val="00B04CE6"/>
    <w:rsid w:val="00B057A6"/>
    <w:rsid w:val="00B05F2D"/>
    <w:rsid w:val="00B060BD"/>
    <w:rsid w:val="00B0610A"/>
    <w:rsid w:val="00B06268"/>
    <w:rsid w:val="00B06602"/>
    <w:rsid w:val="00B07032"/>
    <w:rsid w:val="00B07883"/>
    <w:rsid w:val="00B1036E"/>
    <w:rsid w:val="00B10413"/>
    <w:rsid w:val="00B108BF"/>
    <w:rsid w:val="00B10A8F"/>
    <w:rsid w:val="00B10B6D"/>
    <w:rsid w:val="00B11042"/>
    <w:rsid w:val="00B11834"/>
    <w:rsid w:val="00B1224D"/>
    <w:rsid w:val="00B122CA"/>
    <w:rsid w:val="00B126AC"/>
    <w:rsid w:val="00B136E9"/>
    <w:rsid w:val="00B138D3"/>
    <w:rsid w:val="00B14410"/>
    <w:rsid w:val="00B14699"/>
    <w:rsid w:val="00B14778"/>
    <w:rsid w:val="00B14C1B"/>
    <w:rsid w:val="00B15803"/>
    <w:rsid w:val="00B15A26"/>
    <w:rsid w:val="00B15A93"/>
    <w:rsid w:val="00B15E61"/>
    <w:rsid w:val="00B1628B"/>
    <w:rsid w:val="00B16478"/>
    <w:rsid w:val="00B169E9"/>
    <w:rsid w:val="00B16A66"/>
    <w:rsid w:val="00B16ACC"/>
    <w:rsid w:val="00B17D1B"/>
    <w:rsid w:val="00B205C2"/>
    <w:rsid w:val="00B209A1"/>
    <w:rsid w:val="00B20EE6"/>
    <w:rsid w:val="00B20F1F"/>
    <w:rsid w:val="00B217B7"/>
    <w:rsid w:val="00B21854"/>
    <w:rsid w:val="00B22B07"/>
    <w:rsid w:val="00B22EF8"/>
    <w:rsid w:val="00B24245"/>
    <w:rsid w:val="00B2484B"/>
    <w:rsid w:val="00B2485C"/>
    <w:rsid w:val="00B24954"/>
    <w:rsid w:val="00B24F15"/>
    <w:rsid w:val="00B24F35"/>
    <w:rsid w:val="00B25C01"/>
    <w:rsid w:val="00B25C80"/>
    <w:rsid w:val="00B25D3F"/>
    <w:rsid w:val="00B26207"/>
    <w:rsid w:val="00B26488"/>
    <w:rsid w:val="00B270E4"/>
    <w:rsid w:val="00B27CED"/>
    <w:rsid w:val="00B27D46"/>
    <w:rsid w:val="00B27F20"/>
    <w:rsid w:val="00B3024D"/>
    <w:rsid w:val="00B30CAE"/>
    <w:rsid w:val="00B30D7B"/>
    <w:rsid w:val="00B31AA4"/>
    <w:rsid w:val="00B31BA6"/>
    <w:rsid w:val="00B321F6"/>
    <w:rsid w:val="00B32219"/>
    <w:rsid w:val="00B32C88"/>
    <w:rsid w:val="00B32EE1"/>
    <w:rsid w:val="00B33080"/>
    <w:rsid w:val="00B33F2E"/>
    <w:rsid w:val="00B34249"/>
    <w:rsid w:val="00B34747"/>
    <w:rsid w:val="00B347DB"/>
    <w:rsid w:val="00B35047"/>
    <w:rsid w:val="00B353CC"/>
    <w:rsid w:val="00B35996"/>
    <w:rsid w:val="00B35D07"/>
    <w:rsid w:val="00B35D2B"/>
    <w:rsid w:val="00B36369"/>
    <w:rsid w:val="00B36F77"/>
    <w:rsid w:val="00B3714B"/>
    <w:rsid w:val="00B37848"/>
    <w:rsid w:val="00B37B0D"/>
    <w:rsid w:val="00B37D93"/>
    <w:rsid w:val="00B37FAD"/>
    <w:rsid w:val="00B409AE"/>
    <w:rsid w:val="00B42246"/>
    <w:rsid w:val="00B4256D"/>
    <w:rsid w:val="00B42AB7"/>
    <w:rsid w:val="00B42CBA"/>
    <w:rsid w:val="00B42E49"/>
    <w:rsid w:val="00B431DC"/>
    <w:rsid w:val="00B432CC"/>
    <w:rsid w:val="00B438D2"/>
    <w:rsid w:val="00B43F89"/>
    <w:rsid w:val="00B444D7"/>
    <w:rsid w:val="00B44D0B"/>
    <w:rsid w:val="00B45128"/>
    <w:rsid w:val="00B4557C"/>
    <w:rsid w:val="00B45BB6"/>
    <w:rsid w:val="00B45F40"/>
    <w:rsid w:val="00B46895"/>
    <w:rsid w:val="00B4716E"/>
    <w:rsid w:val="00B471A0"/>
    <w:rsid w:val="00B471A5"/>
    <w:rsid w:val="00B50903"/>
    <w:rsid w:val="00B5099F"/>
    <w:rsid w:val="00B509C2"/>
    <w:rsid w:val="00B50A30"/>
    <w:rsid w:val="00B50C75"/>
    <w:rsid w:val="00B51241"/>
    <w:rsid w:val="00B513E2"/>
    <w:rsid w:val="00B5150D"/>
    <w:rsid w:val="00B51AF0"/>
    <w:rsid w:val="00B51C70"/>
    <w:rsid w:val="00B51C71"/>
    <w:rsid w:val="00B522C8"/>
    <w:rsid w:val="00B523BA"/>
    <w:rsid w:val="00B52998"/>
    <w:rsid w:val="00B52FDF"/>
    <w:rsid w:val="00B5314E"/>
    <w:rsid w:val="00B53666"/>
    <w:rsid w:val="00B548B1"/>
    <w:rsid w:val="00B54CB1"/>
    <w:rsid w:val="00B55B0E"/>
    <w:rsid w:val="00B5662D"/>
    <w:rsid w:val="00B574B6"/>
    <w:rsid w:val="00B57A25"/>
    <w:rsid w:val="00B60104"/>
    <w:rsid w:val="00B60A2D"/>
    <w:rsid w:val="00B60BDA"/>
    <w:rsid w:val="00B60ECE"/>
    <w:rsid w:val="00B61D9F"/>
    <w:rsid w:val="00B6233F"/>
    <w:rsid w:val="00B62F8C"/>
    <w:rsid w:val="00B62FFE"/>
    <w:rsid w:val="00B63BD4"/>
    <w:rsid w:val="00B641CB"/>
    <w:rsid w:val="00B642AB"/>
    <w:rsid w:val="00B646F3"/>
    <w:rsid w:val="00B64821"/>
    <w:rsid w:val="00B65013"/>
    <w:rsid w:val="00B650FE"/>
    <w:rsid w:val="00B6525C"/>
    <w:rsid w:val="00B65643"/>
    <w:rsid w:val="00B65B26"/>
    <w:rsid w:val="00B66928"/>
    <w:rsid w:val="00B66F3E"/>
    <w:rsid w:val="00B66F41"/>
    <w:rsid w:val="00B671D3"/>
    <w:rsid w:val="00B700AC"/>
    <w:rsid w:val="00B7012C"/>
    <w:rsid w:val="00B708B9"/>
    <w:rsid w:val="00B70998"/>
    <w:rsid w:val="00B709A6"/>
    <w:rsid w:val="00B7123A"/>
    <w:rsid w:val="00B71346"/>
    <w:rsid w:val="00B71C21"/>
    <w:rsid w:val="00B71EDD"/>
    <w:rsid w:val="00B71EFD"/>
    <w:rsid w:val="00B72540"/>
    <w:rsid w:val="00B72AC4"/>
    <w:rsid w:val="00B72B94"/>
    <w:rsid w:val="00B72C48"/>
    <w:rsid w:val="00B739B9"/>
    <w:rsid w:val="00B74019"/>
    <w:rsid w:val="00B7435C"/>
    <w:rsid w:val="00B74477"/>
    <w:rsid w:val="00B748C1"/>
    <w:rsid w:val="00B74C1A"/>
    <w:rsid w:val="00B75493"/>
    <w:rsid w:val="00B75A6A"/>
    <w:rsid w:val="00B75C90"/>
    <w:rsid w:val="00B75EA2"/>
    <w:rsid w:val="00B76666"/>
    <w:rsid w:val="00B76F38"/>
    <w:rsid w:val="00B7753D"/>
    <w:rsid w:val="00B77633"/>
    <w:rsid w:val="00B77894"/>
    <w:rsid w:val="00B77D0E"/>
    <w:rsid w:val="00B8002A"/>
    <w:rsid w:val="00B8002F"/>
    <w:rsid w:val="00B803EA"/>
    <w:rsid w:val="00B8085D"/>
    <w:rsid w:val="00B80B24"/>
    <w:rsid w:val="00B80DF8"/>
    <w:rsid w:val="00B81482"/>
    <w:rsid w:val="00B814D7"/>
    <w:rsid w:val="00B81668"/>
    <w:rsid w:val="00B81A63"/>
    <w:rsid w:val="00B81A89"/>
    <w:rsid w:val="00B81EFF"/>
    <w:rsid w:val="00B8228E"/>
    <w:rsid w:val="00B82528"/>
    <w:rsid w:val="00B825BF"/>
    <w:rsid w:val="00B82623"/>
    <w:rsid w:val="00B82B9A"/>
    <w:rsid w:val="00B83198"/>
    <w:rsid w:val="00B831BA"/>
    <w:rsid w:val="00B836BB"/>
    <w:rsid w:val="00B83B87"/>
    <w:rsid w:val="00B83BDB"/>
    <w:rsid w:val="00B83C2D"/>
    <w:rsid w:val="00B83D77"/>
    <w:rsid w:val="00B83F8C"/>
    <w:rsid w:val="00B84033"/>
    <w:rsid w:val="00B84122"/>
    <w:rsid w:val="00B84E59"/>
    <w:rsid w:val="00B85E73"/>
    <w:rsid w:val="00B8610E"/>
    <w:rsid w:val="00B86274"/>
    <w:rsid w:val="00B862B0"/>
    <w:rsid w:val="00B86379"/>
    <w:rsid w:val="00B864FB"/>
    <w:rsid w:val="00B86939"/>
    <w:rsid w:val="00B86CD0"/>
    <w:rsid w:val="00B870D6"/>
    <w:rsid w:val="00B87198"/>
    <w:rsid w:val="00B87784"/>
    <w:rsid w:val="00B90AB6"/>
    <w:rsid w:val="00B90B94"/>
    <w:rsid w:val="00B90C65"/>
    <w:rsid w:val="00B90EBD"/>
    <w:rsid w:val="00B91D05"/>
    <w:rsid w:val="00B92043"/>
    <w:rsid w:val="00B9220C"/>
    <w:rsid w:val="00B92C62"/>
    <w:rsid w:val="00B92F80"/>
    <w:rsid w:val="00B931D1"/>
    <w:rsid w:val="00B932C1"/>
    <w:rsid w:val="00B93314"/>
    <w:rsid w:val="00B93D79"/>
    <w:rsid w:val="00B93EF6"/>
    <w:rsid w:val="00B9441D"/>
    <w:rsid w:val="00B95740"/>
    <w:rsid w:val="00B95AB9"/>
    <w:rsid w:val="00B96105"/>
    <w:rsid w:val="00B96187"/>
    <w:rsid w:val="00B97AFC"/>
    <w:rsid w:val="00B97B23"/>
    <w:rsid w:val="00B97F71"/>
    <w:rsid w:val="00BA0547"/>
    <w:rsid w:val="00BA09C2"/>
    <w:rsid w:val="00BA0A92"/>
    <w:rsid w:val="00BA0B67"/>
    <w:rsid w:val="00BA0CBF"/>
    <w:rsid w:val="00BA10BA"/>
    <w:rsid w:val="00BA1908"/>
    <w:rsid w:val="00BA214F"/>
    <w:rsid w:val="00BA2946"/>
    <w:rsid w:val="00BA2B7C"/>
    <w:rsid w:val="00BA34A6"/>
    <w:rsid w:val="00BA3629"/>
    <w:rsid w:val="00BA3B07"/>
    <w:rsid w:val="00BA3DFA"/>
    <w:rsid w:val="00BA44B0"/>
    <w:rsid w:val="00BA4775"/>
    <w:rsid w:val="00BA4A20"/>
    <w:rsid w:val="00BA53CB"/>
    <w:rsid w:val="00BA5600"/>
    <w:rsid w:val="00BA5CFF"/>
    <w:rsid w:val="00BA5F17"/>
    <w:rsid w:val="00BA6968"/>
    <w:rsid w:val="00BA7867"/>
    <w:rsid w:val="00BA79C8"/>
    <w:rsid w:val="00BA7D36"/>
    <w:rsid w:val="00BA7FE3"/>
    <w:rsid w:val="00BB0549"/>
    <w:rsid w:val="00BB07B4"/>
    <w:rsid w:val="00BB0A31"/>
    <w:rsid w:val="00BB0A76"/>
    <w:rsid w:val="00BB0B0C"/>
    <w:rsid w:val="00BB0DAC"/>
    <w:rsid w:val="00BB1089"/>
    <w:rsid w:val="00BB1149"/>
    <w:rsid w:val="00BB127D"/>
    <w:rsid w:val="00BB142A"/>
    <w:rsid w:val="00BB2262"/>
    <w:rsid w:val="00BB2334"/>
    <w:rsid w:val="00BB29A4"/>
    <w:rsid w:val="00BB2A78"/>
    <w:rsid w:val="00BB2E12"/>
    <w:rsid w:val="00BB2E23"/>
    <w:rsid w:val="00BB2F69"/>
    <w:rsid w:val="00BB30CF"/>
    <w:rsid w:val="00BB3469"/>
    <w:rsid w:val="00BB34B9"/>
    <w:rsid w:val="00BB35C2"/>
    <w:rsid w:val="00BB3743"/>
    <w:rsid w:val="00BB383B"/>
    <w:rsid w:val="00BB3987"/>
    <w:rsid w:val="00BB3989"/>
    <w:rsid w:val="00BB4146"/>
    <w:rsid w:val="00BB42AB"/>
    <w:rsid w:val="00BB46FF"/>
    <w:rsid w:val="00BB476E"/>
    <w:rsid w:val="00BB4841"/>
    <w:rsid w:val="00BB4DA3"/>
    <w:rsid w:val="00BB548B"/>
    <w:rsid w:val="00BB553B"/>
    <w:rsid w:val="00BB5606"/>
    <w:rsid w:val="00BB5607"/>
    <w:rsid w:val="00BB57AC"/>
    <w:rsid w:val="00BB5CAC"/>
    <w:rsid w:val="00BB5CDF"/>
    <w:rsid w:val="00BB5D9C"/>
    <w:rsid w:val="00BB6078"/>
    <w:rsid w:val="00BB6120"/>
    <w:rsid w:val="00BB7180"/>
    <w:rsid w:val="00BB71AB"/>
    <w:rsid w:val="00BB74C6"/>
    <w:rsid w:val="00BB79EE"/>
    <w:rsid w:val="00BB7F16"/>
    <w:rsid w:val="00BB7FD6"/>
    <w:rsid w:val="00BC0860"/>
    <w:rsid w:val="00BC0913"/>
    <w:rsid w:val="00BC0B83"/>
    <w:rsid w:val="00BC0C0C"/>
    <w:rsid w:val="00BC12B7"/>
    <w:rsid w:val="00BC1A8B"/>
    <w:rsid w:val="00BC1B66"/>
    <w:rsid w:val="00BC1EBE"/>
    <w:rsid w:val="00BC20EB"/>
    <w:rsid w:val="00BC28D7"/>
    <w:rsid w:val="00BC333A"/>
    <w:rsid w:val="00BC376C"/>
    <w:rsid w:val="00BC3849"/>
    <w:rsid w:val="00BC3DF0"/>
    <w:rsid w:val="00BC4B0A"/>
    <w:rsid w:val="00BC4EA5"/>
    <w:rsid w:val="00BC4F7A"/>
    <w:rsid w:val="00BC55C3"/>
    <w:rsid w:val="00BC5711"/>
    <w:rsid w:val="00BC5EBC"/>
    <w:rsid w:val="00BC6321"/>
    <w:rsid w:val="00BC7817"/>
    <w:rsid w:val="00BC7DBF"/>
    <w:rsid w:val="00BC7E51"/>
    <w:rsid w:val="00BD030E"/>
    <w:rsid w:val="00BD09B2"/>
    <w:rsid w:val="00BD0D79"/>
    <w:rsid w:val="00BD13EA"/>
    <w:rsid w:val="00BD19C5"/>
    <w:rsid w:val="00BD222E"/>
    <w:rsid w:val="00BD2676"/>
    <w:rsid w:val="00BD3001"/>
    <w:rsid w:val="00BD371B"/>
    <w:rsid w:val="00BD3819"/>
    <w:rsid w:val="00BD3BF0"/>
    <w:rsid w:val="00BD3D6B"/>
    <w:rsid w:val="00BD3D93"/>
    <w:rsid w:val="00BD4158"/>
    <w:rsid w:val="00BD45EB"/>
    <w:rsid w:val="00BD486F"/>
    <w:rsid w:val="00BD4E9F"/>
    <w:rsid w:val="00BD5272"/>
    <w:rsid w:val="00BD5766"/>
    <w:rsid w:val="00BD6173"/>
    <w:rsid w:val="00BD62C5"/>
    <w:rsid w:val="00BD642D"/>
    <w:rsid w:val="00BD6988"/>
    <w:rsid w:val="00BD6A68"/>
    <w:rsid w:val="00BD6BFF"/>
    <w:rsid w:val="00BD725D"/>
    <w:rsid w:val="00BD7474"/>
    <w:rsid w:val="00BE0190"/>
    <w:rsid w:val="00BE08DC"/>
    <w:rsid w:val="00BE0C60"/>
    <w:rsid w:val="00BE0D80"/>
    <w:rsid w:val="00BE1433"/>
    <w:rsid w:val="00BE1484"/>
    <w:rsid w:val="00BE19F0"/>
    <w:rsid w:val="00BE1A77"/>
    <w:rsid w:val="00BE1DF8"/>
    <w:rsid w:val="00BE21D3"/>
    <w:rsid w:val="00BE2911"/>
    <w:rsid w:val="00BE2C0B"/>
    <w:rsid w:val="00BE2DD1"/>
    <w:rsid w:val="00BE39E2"/>
    <w:rsid w:val="00BE3BC2"/>
    <w:rsid w:val="00BE4742"/>
    <w:rsid w:val="00BE5355"/>
    <w:rsid w:val="00BE66DA"/>
    <w:rsid w:val="00BE6772"/>
    <w:rsid w:val="00BE6F61"/>
    <w:rsid w:val="00BE7383"/>
    <w:rsid w:val="00BE754D"/>
    <w:rsid w:val="00BE7574"/>
    <w:rsid w:val="00BE76A9"/>
    <w:rsid w:val="00BE78D6"/>
    <w:rsid w:val="00BE7C1E"/>
    <w:rsid w:val="00BF0945"/>
    <w:rsid w:val="00BF124B"/>
    <w:rsid w:val="00BF1DB9"/>
    <w:rsid w:val="00BF1E3B"/>
    <w:rsid w:val="00BF2273"/>
    <w:rsid w:val="00BF3207"/>
    <w:rsid w:val="00BF3213"/>
    <w:rsid w:val="00BF3574"/>
    <w:rsid w:val="00BF360D"/>
    <w:rsid w:val="00BF3782"/>
    <w:rsid w:val="00BF47D8"/>
    <w:rsid w:val="00BF51AB"/>
    <w:rsid w:val="00BF549C"/>
    <w:rsid w:val="00BF555B"/>
    <w:rsid w:val="00BF5588"/>
    <w:rsid w:val="00BF5ABB"/>
    <w:rsid w:val="00BF5C0B"/>
    <w:rsid w:val="00BF5EF6"/>
    <w:rsid w:val="00BF6D10"/>
    <w:rsid w:val="00BF6E79"/>
    <w:rsid w:val="00BF742C"/>
    <w:rsid w:val="00BF7495"/>
    <w:rsid w:val="00BF751B"/>
    <w:rsid w:val="00BF7592"/>
    <w:rsid w:val="00BF7627"/>
    <w:rsid w:val="00C00113"/>
    <w:rsid w:val="00C002BB"/>
    <w:rsid w:val="00C002FE"/>
    <w:rsid w:val="00C00DA3"/>
    <w:rsid w:val="00C0116B"/>
    <w:rsid w:val="00C014EC"/>
    <w:rsid w:val="00C0174D"/>
    <w:rsid w:val="00C019B2"/>
    <w:rsid w:val="00C019E1"/>
    <w:rsid w:val="00C0222F"/>
    <w:rsid w:val="00C022C3"/>
    <w:rsid w:val="00C0253F"/>
    <w:rsid w:val="00C02592"/>
    <w:rsid w:val="00C02F5E"/>
    <w:rsid w:val="00C03251"/>
    <w:rsid w:val="00C03C4F"/>
    <w:rsid w:val="00C03F6C"/>
    <w:rsid w:val="00C04A6A"/>
    <w:rsid w:val="00C04F1B"/>
    <w:rsid w:val="00C05472"/>
    <w:rsid w:val="00C0606E"/>
    <w:rsid w:val="00C06275"/>
    <w:rsid w:val="00C06385"/>
    <w:rsid w:val="00C0737F"/>
    <w:rsid w:val="00C074E6"/>
    <w:rsid w:val="00C07564"/>
    <w:rsid w:val="00C1033B"/>
    <w:rsid w:val="00C105B5"/>
    <w:rsid w:val="00C1091D"/>
    <w:rsid w:val="00C10BDA"/>
    <w:rsid w:val="00C11253"/>
    <w:rsid w:val="00C12108"/>
    <w:rsid w:val="00C121D9"/>
    <w:rsid w:val="00C12516"/>
    <w:rsid w:val="00C1292D"/>
    <w:rsid w:val="00C12AFC"/>
    <w:rsid w:val="00C12D5F"/>
    <w:rsid w:val="00C12E14"/>
    <w:rsid w:val="00C12E70"/>
    <w:rsid w:val="00C1336F"/>
    <w:rsid w:val="00C13453"/>
    <w:rsid w:val="00C13CBB"/>
    <w:rsid w:val="00C13F24"/>
    <w:rsid w:val="00C1468F"/>
    <w:rsid w:val="00C152AD"/>
    <w:rsid w:val="00C154C0"/>
    <w:rsid w:val="00C1550C"/>
    <w:rsid w:val="00C159DF"/>
    <w:rsid w:val="00C15BDB"/>
    <w:rsid w:val="00C15C0D"/>
    <w:rsid w:val="00C161F0"/>
    <w:rsid w:val="00C16225"/>
    <w:rsid w:val="00C1646A"/>
    <w:rsid w:val="00C16908"/>
    <w:rsid w:val="00C173CD"/>
    <w:rsid w:val="00C17664"/>
    <w:rsid w:val="00C2037D"/>
    <w:rsid w:val="00C20471"/>
    <w:rsid w:val="00C2085E"/>
    <w:rsid w:val="00C20BA7"/>
    <w:rsid w:val="00C20F03"/>
    <w:rsid w:val="00C21AB3"/>
    <w:rsid w:val="00C21DB7"/>
    <w:rsid w:val="00C220F9"/>
    <w:rsid w:val="00C2223B"/>
    <w:rsid w:val="00C22424"/>
    <w:rsid w:val="00C22597"/>
    <w:rsid w:val="00C22B74"/>
    <w:rsid w:val="00C22F2F"/>
    <w:rsid w:val="00C23026"/>
    <w:rsid w:val="00C23207"/>
    <w:rsid w:val="00C237E7"/>
    <w:rsid w:val="00C23A05"/>
    <w:rsid w:val="00C23C30"/>
    <w:rsid w:val="00C23CFC"/>
    <w:rsid w:val="00C2428E"/>
    <w:rsid w:val="00C2487E"/>
    <w:rsid w:val="00C2541C"/>
    <w:rsid w:val="00C2590F"/>
    <w:rsid w:val="00C25D63"/>
    <w:rsid w:val="00C261B6"/>
    <w:rsid w:val="00C26290"/>
    <w:rsid w:val="00C26676"/>
    <w:rsid w:val="00C267D0"/>
    <w:rsid w:val="00C26862"/>
    <w:rsid w:val="00C26C97"/>
    <w:rsid w:val="00C271EB"/>
    <w:rsid w:val="00C2757D"/>
    <w:rsid w:val="00C2787E"/>
    <w:rsid w:val="00C27BF9"/>
    <w:rsid w:val="00C27C21"/>
    <w:rsid w:val="00C30458"/>
    <w:rsid w:val="00C306EA"/>
    <w:rsid w:val="00C309D0"/>
    <w:rsid w:val="00C313E0"/>
    <w:rsid w:val="00C3148F"/>
    <w:rsid w:val="00C31DA6"/>
    <w:rsid w:val="00C323D0"/>
    <w:rsid w:val="00C325E6"/>
    <w:rsid w:val="00C3285F"/>
    <w:rsid w:val="00C32AE9"/>
    <w:rsid w:val="00C3306F"/>
    <w:rsid w:val="00C33260"/>
    <w:rsid w:val="00C33612"/>
    <w:rsid w:val="00C34064"/>
    <w:rsid w:val="00C3546B"/>
    <w:rsid w:val="00C36803"/>
    <w:rsid w:val="00C37964"/>
    <w:rsid w:val="00C40385"/>
    <w:rsid w:val="00C40D0B"/>
    <w:rsid w:val="00C410A7"/>
    <w:rsid w:val="00C414B6"/>
    <w:rsid w:val="00C41750"/>
    <w:rsid w:val="00C41EA9"/>
    <w:rsid w:val="00C42403"/>
    <w:rsid w:val="00C42E31"/>
    <w:rsid w:val="00C43DB0"/>
    <w:rsid w:val="00C43EAF"/>
    <w:rsid w:val="00C44416"/>
    <w:rsid w:val="00C44543"/>
    <w:rsid w:val="00C446C5"/>
    <w:rsid w:val="00C44CC1"/>
    <w:rsid w:val="00C4598F"/>
    <w:rsid w:val="00C459C4"/>
    <w:rsid w:val="00C45AD3"/>
    <w:rsid w:val="00C45CA6"/>
    <w:rsid w:val="00C45D0B"/>
    <w:rsid w:val="00C46043"/>
    <w:rsid w:val="00C46549"/>
    <w:rsid w:val="00C46740"/>
    <w:rsid w:val="00C46A92"/>
    <w:rsid w:val="00C47334"/>
    <w:rsid w:val="00C50360"/>
    <w:rsid w:val="00C50620"/>
    <w:rsid w:val="00C51070"/>
    <w:rsid w:val="00C5125D"/>
    <w:rsid w:val="00C512D6"/>
    <w:rsid w:val="00C51347"/>
    <w:rsid w:val="00C51AD5"/>
    <w:rsid w:val="00C52403"/>
    <w:rsid w:val="00C524A4"/>
    <w:rsid w:val="00C528B2"/>
    <w:rsid w:val="00C52A1A"/>
    <w:rsid w:val="00C531BE"/>
    <w:rsid w:val="00C533D9"/>
    <w:rsid w:val="00C5363C"/>
    <w:rsid w:val="00C5446A"/>
    <w:rsid w:val="00C54E12"/>
    <w:rsid w:val="00C552ED"/>
    <w:rsid w:val="00C553F6"/>
    <w:rsid w:val="00C55468"/>
    <w:rsid w:val="00C557DA"/>
    <w:rsid w:val="00C55A6D"/>
    <w:rsid w:val="00C565E1"/>
    <w:rsid w:val="00C567D3"/>
    <w:rsid w:val="00C573B2"/>
    <w:rsid w:val="00C5742C"/>
    <w:rsid w:val="00C57D6A"/>
    <w:rsid w:val="00C60394"/>
    <w:rsid w:val="00C60532"/>
    <w:rsid w:val="00C60C53"/>
    <w:rsid w:val="00C60E5E"/>
    <w:rsid w:val="00C6131E"/>
    <w:rsid w:val="00C613C5"/>
    <w:rsid w:val="00C615F8"/>
    <w:rsid w:val="00C618F4"/>
    <w:rsid w:val="00C619A6"/>
    <w:rsid w:val="00C622C3"/>
    <w:rsid w:val="00C624FB"/>
    <w:rsid w:val="00C625F8"/>
    <w:rsid w:val="00C62A99"/>
    <w:rsid w:val="00C6370F"/>
    <w:rsid w:val="00C63BD5"/>
    <w:rsid w:val="00C6512D"/>
    <w:rsid w:val="00C65307"/>
    <w:rsid w:val="00C6586C"/>
    <w:rsid w:val="00C65986"/>
    <w:rsid w:val="00C65ABF"/>
    <w:rsid w:val="00C66EAB"/>
    <w:rsid w:val="00C67355"/>
    <w:rsid w:val="00C6776F"/>
    <w:rsid w:val="00C67AF3"/>
    <w:rsid w:val="00C70101"/>
    <w:rsid w:val="00C707D6"/>
    <w:rsid w:val="00C708ED"/>
    <w:rsid w:val="00C70BFF"/>
    <w:rsid w:val="00C70C21"/>
    <w:rsid w:val="00C7170C"/>
    <w:rsid w:val="00C73CB8"/>
    <w:rsid w:val="00C7447F"/>
    <w:rsid w:val="00C745E8"/>
    <w:rsid w:val="00C745F0"/>
    <w:rsid w:val="00C74906"/>
    <w:rsid w:val="00C74B06"/>
    <w:rsid w:val="00C75B20"/>
    <w:rsid w:val="00C75B9A"/>
    <w:rsid w:val="00C7771E"/>
    <w:rsid w:val="00C80248"/>
    <w:rsid w:val="00C80CF7"/>
    <w:rsid w:val="00C81042"/>
    <w:rsid w:val="00C81147"/>
    <w:rsid w:val="00C814C9"/>
    <w:rsid w:val="00C81B40"/>
    <w:rsid w:val="00C81D8F"/>
    <w:rsid w:val="00C81D95"/>
    <w:rsid w:val="00C81EA9"/>
    <w:rsid w:val="00C81FEA"/>
    <w:rsid w:val="00C82637"/>
    <w:rsid w:val="00C82E05"/>
    <w:rsid w:val="00C83969"/>
    <w:rsid w:val="00C8396A"/>
    <w:rsid w:val="00C83994"/>
    <w:rsid w:val="00C839F6"/>
    <w:rsid w:val="00C8467D"/>
    <w:rsid w:val="00C84B58"/>
    <w:rsid w:val="00C84E20"/>
    <w:rsid w:val="00C85234"/>
    <w:rsid w:val="00C85F9C"/>
    <w:rsid w:val="00C86154"/>
    <w:rsid w:val="00C866E5"/>
    <w:rsid w:val="00C86C7D"/>
    <w:rsid w:val="00C86C95"/>
    <w:rsid w:val="00C8719E"/>
    <w:rsid w:val="00C87439"/>
    <w:rsid w:val="00C87517"/>
    <w:rsid w:val="00C875A8"/>
    <w:rsid w:val="00C8791D"/>
    <w:rsid w:val="00C90979"/>
    <w:rsid w:val="00C90C09"/>
    <w:rsid w:val="00C910EF"/>
    <w:rsid w:val="00C9253E"/>
    <w:rsid w:val="00C9287B"/>
    <w:rsid w:val="00C937D2"/>
    <w:rsid w:val="00C93915"/>
    <w:rsid w:val="00C9451A"/>
    <w:rsid w:val="00C949BF"/>
    <w:rsid w:val="00C95A0E"/>
    <w:rsid w:val="00C9624F"/>
    <w:rsid w:val="00C96628"/>
    <w:rsid w:val="00C9665D"/>
    <w:rsid w:val="00C96BD5"/>
    <w:rsid w:val="00C97209"/>
    <w:rsid w:val="00C97847"/>
    <w:rsid w:val="00C97C9C"/>
    <w:rsid w:val="00CA0088"/>
    <w:rsid w:val="00CA02BA"/>
    <w:rsid w:val="00CA05EB"/>
    <w:rsid w:val="00CA0C18"/>
    <w:rsid w:val="00CA0C88"/>
    <w:rsid w:val="00CA3515"/>
    <w:rsid w:val="00CA3535"/>
    <w:rsid w:val="00CA3701"/>
    <w:rsid w:val="00CA3746"/>
    <w:rsid w:val="00CA3755"/>
    <w:rsid w:val="00CA3770"/>
    <w:rsid w:val="00CA3A05"/>
    <w:rsid w:val="00CA3CBF"/>
    <w:rsid w:val="00CA4665"/>
    <w:rsid w:val="00CA46BE"/>
    <w:rsid w:val="00CA4C2F"/>
    <w:rsid w:val="00CA50DE"/>
    <w:rsid w:val="00CA523A"/>
    <w:rsid w:val="00CA5894"/>
    <w:rsid w:val="00CA58EF"/>
    <w:rsid w:val="00CA5E9C"/>
    <w:rsid w:val="00CA62BE"/>
    <w:rsid w:val="00CA6587"/>
    <w:rsid w:val="00CA6898"/>
    <w:rsid w:val="00CA746B"/>
    <w:rsid w:val="00CA75D4"/>
    <w:rsid w:val="00CA76D9"/>
    <w:rsid w:val="00CA7D1D"/>
    <w:rsid w:val="00CA7D61"/>
    <w:rsid w:val="00CB04E2"/>
    <w:rsid w:val="00CB05A0"/>
    <w:rsid w:val="00CB08B2"/>
    <w:rsid w:val="00CB108D"/>
    <w:rsid w:val="00CB11BF"/>
    <w:rsid w:val="00CB14E9"/>
    <w:rsid w:val="00CB1B6A"/>
    <w:rsid w:val="00CB1D83"/>
    <w:rsid w:val="00CB2305"/>
    <w:rsid w:val="00CB2909"/>
    <w:rsid w:val="00CB2947"/>
    <w:rsid w:val="00CB29C2"/>
    <w:rsid w:val="00CB3CDE"/>
    <w:rsid w:val="00CB4202"/>
    <w:rsid w:val="00CB4820"/>
    <w:rsid w:val="00CB4B2C"/>
    <w:rsid w:val="00CB4D02"/>
    <w:rsid w:val="00CB4D3A"/>
    <w:rsid w:val="00CB4F70"/>
    <w:rsid w:val="00CB56CD"/>
    <w:rsid w:val="00CB573A"/>
    <w:rsid w:val="00CB60D4"/>
    <w:rsid w:val="00CB63DA"/>
    <w:rsid w:val="00CB68D9"/>
    <w:rsid w:val="00CB6D90"/>
    <w:rsid w:val="00CB6ECC"/>
    <w:rsid w:val="00CB70CD"/>
    <w:rsid w:val="00CB71CB"/>
    <w:rsid w:val="00CB72C3"/>
    <w:rsid w:val="00CB74B5"/>
    <w:rsid w:val="00CB78B7"/>
    <w:rsid w:val="00CC05C8"/>
    <w:rsid w:val="00CC062F"/>
    <w:rsid w:val="00CC0D27"/>
    <w:rsid w:val="00CC11BE"/>
    <w:rsid w:val="00CC125C"/>
    <w:rsid w:val="00CC184A"/>
    <w:rsid w:val="00CC2163"/>
    <w:rsid w:val="00CC24B4"/>
    <w:rsid w:val="00CC29EB"/>
    <w:rsid w:val="00CC45E4"/>
    <w:rsid w:val="00CC4620"/>
    <w:rsid w:val="00CC46E0"/>
    <w:rsid w:val="00CC4BC9"/>
    <w:rsid w:val="00CC53C3"/>
    <w:rsid w:val="00CC574E"/>
    <w:rsid w:val="00CC60B7"/>
    <w:rsid w:val="00CC6345"/>
    <w:rsid w:val="00CC67EF"/>
    <w:rsid w:val="00CC6940"/>
    <w:rsid w:val="00CC722A"/>
    <w:rsid w:val="00CC726E"/>
    <w:rsid w:val="00CC77F2"/>
    <w:rsid w:val="00CC78A9"/>
    <w:rsid w:val="00CC791B"/>
    <w:rsid w:val="00CC7A56"/>
    <w:rsid w:val="00CC7D06"/>
    <w:rsid w:val="00CD019F"/>
    <w:rsid w:val="00CD0829"/>
    <w:rsid w:val="00CD0E5B"/>
    <w:rsid w:val="00CD116F"/>
    <w:rsid w:val="00CD11A5"/>
    <w:rsid w:val="00CD196B"/>
    <w:rsid w:val="00CD1E6D"/>
    <w:rsid w:val="00CD1EE7"/>
    <w:rsid w:val="00CD1EFC"/>
    <w:rsid w:val="00CD27C5"/>
    <w:rsid w:val="00CD293A"/>
    <w:rsid w:val="00CD2BC9"/>
    <w:rsid w:val="00CD3510"/>
    <w:rsid w:val="00CD37E9"/>
    <w:rsid w:val="00CD3834"/>
    <w:rsid w:val="00CD39F7"/>
    <w:rsid w:val="00CD412C"/>
    <w:rsid w:val="00CD4139"/>
    <w:rsid w:val="00CD48E6"/>
    <w:rsid w:val="00CD4F1C"/>
    <w:rsid w:val="00CD4F79"/>
    <w:rsid w:val="00CD525A"/>
    <w:rsid w:val="00CD59B3"/>
    <w:rsid w:val="00CD5ACD"/>
    <w:rsid w:val="00CD5AE5"/>
    <w:rsid w:val="00CD6468"/>
    <w:rsid w:val="00CD6577"/>
    <w:rsid w:val="00CD663A"/>
    <w:rsid w:val="00CD68C4"/>
    <w:rsid w:val="00CD6AA4"/>
    <w:rsid w:val="00CD6BAA"/>
    <w:rsid w:val="00CD72D0"/>
    <w:rsid w:val="00CD78D2"/>
    <w:rsid w:val="00CD7C03"/>
    <w:rsid w:val="00CE0766"/>
    <w:rsid w:val="00CE0CD3"/>
    <w:rsid w:val="00CE14C6"/>
    <w:rsid w:val="00CE18F3"/>
    <w:rsid w:val="00CE1AF5"/>
    <w:rsid w:val="00CE1ED4"/>
    <w:rsid w:val="00CE1F1E"/>
    <w:rsid w:val="00CE28BE"/>
    <w:rsid w:val="00CE2D2F"/>
    <w:rsid w:val="00CE313E"/>
    <w:rsid w:val="00CE343B"/>
    <w:rsid w:val="00CE350B"/>
    <w:rsid w:val="00CE35D1"/>
    <w:rsid w:val="00CE4169"/>
    <w:rsid w:val="00CE427F"/>
    <w:rsid w:val="00CE5256"/>
    <w:rsid w:val="00CE5336"/>
    <w:rsid w:val="00CE57A2"/>
    <w:rsid w:val="00CE5C02"/>
    <w:rsid w:val="00CE5D21"/>
    <w:rsid w:val="00CE5D72"/>
    <w:rsid w:val="00CE5DC3"/>
    <w:rsid w:val="00CE6000"/>
    <w:rsid w:val="00CE62C7"/>
    <w:rsid w:val="00CE6334"/>
    <w:rsid w:val="00CE639D"/>
    <w:rsid w:val="00CE6853"/>
    <w:rsid w:val="00CE6B40"/>
    <w:rsid w:val="00CE6EBD"/>
    <w:rsid w:val="00CE73C4"/>
    <w:rsid w:val="00CE7894"/>
    <w:rsid w:val="00CF001D"/>
    <w:rsid w:val="00CF06A1"/>
    <w:rsid w:val="00CF0906"/>
    <w:rsid w:val="00CF1467"/>
    <w:rsid w:val="00CF18E9"/>
    <w:rsid w:val="00CF1B77"/>
    <w:rsid w:val="00CF24F7"/>
    <w:rsid w:val="00CF2645"/>
    <w:rsid w:val="00CF3412"/>
    <w:rsid w:val="00CF34EE"/>
    <w:rsid w:val="00CF3532"/>
    <w:rsid w:val="00CF47E6"/>
    <w:rsid w:val="00CF48D6"/>
    <w:rsid w:val="00CF4D85"/>
    <w:rsid w:val="00CF5551"/>
    <w:rsid w:val="00CF5707"/>
    <w:rsid w:val="00CF57C9"/>
    <w:rsid w:val="00CF57D6"/>
    <w:rsid w:val="00CF5C3F"/>
    <w:rsid w:val="00CF6110"/>
    <w:rsid w:val="00CF6356"/>
    <w:rsid w:val="00CF6C1B"/>
    <w:rsid w:val="00CF72E0"/>
    <w:rsid w:val="00CF75AB"/>
    <w:rsid w:val="00CF7E8B"/>
    <w:rsid w:val="00D0004E"/>
    <w:rsid w:val="00D015CB"/>
    <w:rsid w:val="00D019D5"/>
    <w:rsid w:val="00D02182"/>
    <w:rsid w:val="00D02224"/>
    <w:rsid w:val="00D0272C"/>
    <w:rsid w:val="00D0285A"/>
    <w:rsid w:val="00D02EBF"/>
    <w:rsid w:val="00D02FEC"/>
    <w:rsid w:val="00D03C6B"/>
    <w:rsid w:val="00D03D62"/>
    <w:rsid w:val="00D03E5F"/>
    <w:rsid w:val="00D040FE"/>
    <w:rsid w:val="00D0412E"/>
    <w:rsid w:val="00D043C3"/>
    <w:rsid w:val="00D047A2"/>
    <w:rsid w:val="00D047DE"/>
    <w:rsid w:val="00D04962"/>
    <w:rsid w:val="00D04ED4"/>
    <w:rsid w:val="00D05AA7"/>
    <w:rsid w:val="00D05B28"/>
    <w:rsid w:val="00D05FA0"/>
    <w:rsid w:val="00D06377"/>
    <w:rsid w:val="00D063D0"/>
    <w:rsid w:val="00D068CB"/>
    <w:rsid w:val="00D06EC1"/>
    <w:rsid w:val="00D0728A"/>
    <w:rsid w:val="00D07E57"/>
    <w:rsid w:val="00D1012B"/>
    <w:rsid w:val="00D1029C"/>
    <w:rsid w:val="00D104A3"/>
    <w:rsid w:val="00D1115E"/>
    <w:rsid w:val="00D114A0"/>
    <w:rsid w:val="00D118D5"/>
    <w:rsid w:val="00D12CFF"/>
    <w:rsid w:val="00D12D8A"/>
    <w:rsid w:val="00D12DF6"/>
    <w:rsid w:val="00D1322A"/>
    <w:rsid w:val="00D13999"/>
    <w:rsid w:val="00D139F5"/>
    <w:rsid w:val="00D13A70"/>
    <w:rsid w:val="00D14E89"/>
    <w:rsid w:val="00D14EA4"/>
    <w:rsid w:val="00D1544D"/>
    <w:rsid w:val="00D1594E"/>
    <w:rsid w:val="00D159BF"/>
    <w:rsid w:val="00D162E2"/>
    <w:rsid w:val="00D1668F"/>
    <w:rsid w:val="00D167D0"/>
    <w:rsid w:val="00D168BF"/>
    <w:rsid w:val="00D168FD"/>
    <w:rsid w:val="00D16F64"/>
    <w:rsid w:val="00D17052"/>
    <w:rsid w:val="00D174BE"/>
    <w:rsid w:val="00D17A92"/>
    <w:rsid w:val="00D20268"/>
    <w:rsid w:val="00D20664"/>
    <w:rsid w:val="00D207F2"/>
    <w:rsid w:val="00D212EB"/>
    <w:rsid w:val="00D21F17"/>
    <w:rsid w:val="00D22F05"/>
    <w:rsid w:val="00D230A7"/>
    <w:rsid w:val="00D233DE"/>
    <w:rsid w:val="00D23AC3"/>
    <w:rsid w:val="00D23D4C"/>
    <w:rsid w:val="00D23F8E"/>
    <w:rsid w:val="00D246A4"/>
    <w:rsid w:val="00D2472C"/>
    <w:rsid w:val="00D24BE0"/>
    <w:rsid w:val="00D24DF9"/>
    <w:rsid w:val="00D2533B"/>
    <w:rsid w:val="00D25590"/>
    <w:rsid w:val="00D2685A"/>
    <w:rsid w:val="00D268C3"/>
    <w:rsid w:val="00D26C02"/>
    <w:rsid w:val="00D2756A"/>
    <w:rsid w:val="00D279BA"/>
    <w:rsid w:val="00D27EEC"/>
    <w:rsid w:val="00D30D7A"/>
    <w:rsid w:val="00D310EC"/>
    <w:rsid w:val="00D311EA"/>
    <w:rsid w:val="00D31835"/>
    <w:rsid w:val="00D31ACE"/>
    <w:rsid w:val="00D31BB1"/>
    <w:rsid w:val="00D31E91"/>
    <w:rsid w:val="00D320D0"/>
    <w:rsid w:val="00D32148"/>
    <w:rsid w:val="00D3217D"/>
    <w:rsid w:val="00D325E1"/>
    <w:rsid w:val="00D3284D"/>
    <w:rsid w:val="00D329F4"/>
    <w:rsid w:val="00D32BD3"/>
    <w:rsid w:val="00D334A4"/>
    <w:rsid w:val="00D334D0"/>
    <w:rsid w:val="00D33BB0"/>
    <w:rsid w:val="00D34303"/>
    <w:rsid w:val="00D34413"/>
    <w:rsid w:val="00D345D3"/>
    <w:rsid w:val="00D34705"/>
    <w:rsid w:val="00D34E7B"/>
    <w:rsid w:val="00D35491"/>
    <w:rsid w:val="00D361BB"/>
    <w:rsid w:val="00D36754"/>
    <w:rsid w:val="00D36A75"/>
    <w:rsid w:val="00D36FE5"/>
    <w:rsid w:val="00D3779A"/>
    <w:rsid w:val="00D37997"/>
    <w:rsid w:val="00D40026"/>
    <w:rsid w:val="00D402C4"/>
    <w:rsid w:val="00D404B5"/>
    <w:rsid w:val="00D40864"/>
    <w:rsid w:val="00D4206C"/>
    <w:rsid w:val="00D422C4"/>
    <w:rsid w:val="00D423C6"/>
    <w:rsid w:val="00D42C56"/>
    <w:rsid w:val="00D43417"/>
    <w:rsid w:val="00D434DB"/>
    <w:rsid w:val="00D43C27"/>
    <w:rsid w:val="00D43D8B"/>
    <w:rsid w:val="00D43F74"/>
    <w:rsid w:val="00D43FDC"/>
    <w:rsid w:val="00D445B9"/>
    <w:rsid w:val="00D447CB"/>
    <w:rsid w:val="00D44943"/>
    <w:rsid w:val="00D449BA"/>
    <w:rsid w:val="00D4545C"/>
    <w:rsid w:val="00D4636F"/>
    <w:rsid w:val="00D46D2B"/>
    <w:rsid w:val="00D475F4"/>
    <w:rsid w:val="00D4790D"/>
    <w:rsid w:val="00D479A0"/>
    <w:rsid w:val="00D47A3B"/>
    <w:rsid w:val="00D47D16"/>
    <w:rsid w:val="00D47E15"/>
    <w:rsid w:val="00D47E6C"/>
    <w:rsid w:val="00D502F0"/>
    <w:rsid w:val="00D5039B"/>
    <w:rsid w:val="00D505F4"/>
    <w:rsid w:val="00D50FF7"/>
    <w:rsid w:val="00D511C9"/>
    <w:rsid w:val="00D518B9"/>
    <w:rsid w:val="00D51CE1"/>
    <w:rsid w:val="00D51EED"/>
    <w:rsid w:val="00D52132"/>
    <w:rsid w:val="00D52695"/>
    <w:rsid w:val="00D53E9B"/>
    <w:rsid w:val="00D546B7"/>
    <w:rsid w:val="00D5470D"/>
    <w:rsid w:val="00D54D1C"/>
    <w:rsid w:val="00D54DC4"/>
    <w:rsid w:val="00D55250"/>
    <w:rsid w:val="00D55369"/>
    <w:rsid w:val="00D5579E"/>
    <w:rsid w:val="00D557F5"/>
    <w:rsid w:val="00D55D76"/>
    <w:rsid w:val="00D562F2"/>
    <w:rsid w:val="00D56386"/>
    <w:rsid w:val="00D567A8"/>
    <w:rsid w:val="00D56955"/>
    <w:rsid w:val="00D56960"/>
    <w:rsid w:val="00D56ABA"/>
    <w:rsid w:val="00D56F5A"/>
    <w:rsid w:val="00D56FE3"/>
    <w:rsid w:val="00D57120"/>
    <w:rsid w:val="00D576A0"/>
    <w:rsid w:val="00D5797C"/>
    <w:rsid w:val="00D57D9E"/>
    <w:rsid w:val="00D60A2A"/>
    <w:rsid w:val="00D60CAA"/>
    <w:rsid w:val="00D61858"/>
    <w:rsid w:val="00D61966"/>
    <w:rsid w:val="00D61B59"/>
    <w:rsid w:val="00D61B8D"/>
    <w:rsid w:val="00D61B93"/>
    <w:rsid w:val="00D622C8"/>
    <w:rsid w:val="00D62ADB"/>
    <w:rsid w:val="00D62D31"/>
    <w:rsid w:val="00D64721"/>
    <w:rsid w:val="00D651AD"/>
    <w:rsid w:val="00D6580F"/>
    <w:rsid w:val="00D65D87"/>
    <w:rsid w:val="00D66A15"/>
    <w:rsid w:val="00D673BA"/>
    <w:rsid w:val="00D67B9E"/>
    <w:rsid w:val="00D67E4A"/>
    <w:rsid w:val="00D70070"/>
    <w:rsid w:val="00D702A6"/>
    <w:rsid w:val="00D704FE"/>
    <w:rsid w:val="00D71D0B"/>
    <w:rsid w:val="00D72560"/>
    <w:rsid w:val="00D72E74"/>
    <w:rsid w:val="00D73229"/>
    <w:rsid w:val="00D732AA"/>
    <w:rsid w:val="00D73C01"/>
    <w:rsid w:val="00D74164"/>
    <w:rsid w:val="00D74181"/>
    <w:rsid w:val="00D74357"/>
    <w:rsid w:val="00D7517E"/>
    <w:rsid w:val="00D759AC"/>
    <w:rsid w:val="00D75A2B"/>
    <w:rsid w:val="00D7616B"/>
    <w:rsid w:val="00D761BF"/>
    <w:rsid w:val="00D76236"/>
    <w:rsid w:val="00D763FD"/>
    <w:rsid w:val="00D766FD"/>
    <w:rsid w:val="00D7670F"/>
    <w:rsid w:val="00D76AB5"/>
    <w:rsid w:val="00D76DB6"/>
    <w:rsid w:val="00D76F89"/>
    <w:rsid w:val="00D80C31"/>
    <w:rsid w:val="00D80DD2"/>
    <w:rsid w:val="00D81A7A"/>
    <w:rsid w:val="00D8270F"/>
    <w:rsid w:val="00D82DA0"/>
    <w:rsid w:val="00D83672"/>
    <w:rsid w:val="00D8383C"/>
    <w:rsid w:val="00D84461"/>
    <w:rsid w:val="00D845E2"/>
    <w:rsid w:val="00D84691"/>
    <w:rsid w:val="00D84738"/>
    <w:rsid w:val="00D84D3A"/>
    <w:rsid w:val="00D84D63"/>
    <w:rsid w:val="00D84E00"/>
    <w:rsid w:val="00D856E8"/>
    <w:rsid w:val="00D858C5"/>
    <w:rsid w:val="00D860A6"/>
    <w:rsid w:val="00D862FF"/>
    <w:rsid w:val="00D86663"/>
    <w:rsid w:val="00D8670D"/>
    <w:rsid w:val="00D86888"/>
    <w:rsid w:val="00D86F7D"/>
    <w:rsid w:val="00D86FEE"/>
    <w:rsid w:val="00D870B7"/>
    <w:rsid w:val="00D87B36"/>
    <w:rsid w:val="00D87EEB"/>
    <w:rsid w:val="00D9045F"/>
    <w:rsid w:val="00D90AD1"/>
    <w:rsid w:val="00D90CE4"/>
    <w:rsid w:val="00D91171"/>
    <w:rsid w:val="00D912C0"/>
    <w:rsid w:val="00D91365"/>
    <w:rsid w:val="00D915F6"/>
    <w:rsid w:val="00D917F2"/>
    <w:rsid w:val="00D91E92"/>
    <w:rsid w:val="00D91FD9"/>
    <w:rsid w:val="00D92622"/>
    <w:rsid w:val="00D92896"/>
    <w:rsid w:val="00D92B54"/>
    <w:rsid w:val="00D93792"/>
    <w:rsid w:val="00D941F7"/>
    <w:rsid w:val="00D942B8"/>
    <w:rsid w:val="00D948FA"/>
    <w:rsid w:val="00D9512D"/>
    <w:rsid w:val="00D95547"/>
    <w:rsid w:val="00D9583E"/>
    <w:rsid w:val="00D95EA7"/>
    <w:rsid w:val="00D96D3D"/>
    <w:rsid w:val="00D9702F"/>
    <w:rsid w:val="00D9704A"/>
    <w:rsid w:val="00D97409"/>
    <w:rsid w:val="00D9769A"/>
    <w:rsid w:val="00D97D97"/>
    <w:rsid w:val="00D97EC6"/>
    <w:rsid w:val="00DA047F"/>
    <w:rsid w:val="00DA069D"/>
    <w:rsid w:val="00DA07A5"/>
    <w:rsid w:val="00DA08B2"/>
    <w:rsid w:val="00DA0E88"/>
    <w:rsid w:val="00DA107F"/>
    <w:rsid w:val="00DA1384"/>
    <w:rsid w:val="00DA13CF"/>
    <w:rsid w:val="00DA1492"/>
    <w:rsid w:val="00DA1565"/>
    <w:rsid w:val="00DA1E08"/>
    <w:rsid w:val="00DA20AB"/>
    <w:rsid w:val="00DA2210"/>
    <w:rsid w:val="00DA23E0"/>
    <w:rsid w:val="00DA2510"/>
    <w:rsid w:val="00DA26C3"/>
    <w:rsid w:val="00DA2D5D"/>
    <w:rsid w:val="00DA2EC6"/>
    <w:rsid w:val="00DA352B"/>
    <w:rsid w:val="00DA3F2E"/>
    <w:rsid w:val="00DA45B8"/>
    <w:rsid w:val="00DA4B81"/>
    <w:rsid w:val="00DA4DDF"/>
    <w:rsid w:val="00DA57E3"/>
    <w:rsid w:val="00DA5BD5"/>
    <w:rsid w:val="00DA5F67"/>
    <w:rsid w:val="00DA6081"/>
    <w:rsid w:val="00DA66ED"/>
    <w:rsid w:val="00DB0804"/>
    <w:rsid w:val="00DB0891"/>
    <w:rsid w:val="00DB0EC0"/>
    <w:rsid w:val="00DB1069"/>
    <w:rsid w:val="00DB18D6"/>
    <w:rsid w:val="00DB1B11"/>
    <w:rsid w:val="00DB1C2E"/>
    <w:rsid w:val="00DB1D21"/>
    <w:rsid w:val="00DB2041"/>
    <w:rsid w:val="00DB23D6"/>
    <w:rsid w:val="00DB2CF8"/>
    <w:rsid w:val="00DB2FC4"/>
    <w:rsid w:val="00DB3557"/>
    <w:rsid w:val="00DB3A88"/>
    <w:rsid w:val="00DB3BD4"/>
    <w:rsid w:val="00DB4020"/>
    <w:rsid w:val="00DB40AD"/>
    <w:rsid w:val="00DB482D"/>
    <w:rsid w:val="00DB48E2"/>
    <w:rsid w:val="00DB5026"/>
    <w:rsid w:val="00DB52BF"/>
    <w:rsid w:val="00DB532C"/>
    <w:rsid w:val="00DB5BED"/>
    <w:rsid w:val="00DB5D08"/>
    <w:rsid w:val="00DB5ED6"/>
    <w:rsid w:val="00DB68DF"/>
    <w:rsid w:val="00DB6ED6"/>
    <w:rsid w:val="00DB6F39"/>
    <w:rsid w:val="00DB7317"/>
    <w:rsid w:val="00DB7F5A"/>
    <w:rsid w:val="00DC0BE0"/>
    <w:rsid w:val="00DC13B4"/>
    <w:rsid w:val="00DC1654"/>
    <w:rsid w:val="00DC1C0B"/>
    <w:rsid w:val="00DC1D98"/>
    <w:rsid w:val="00DC1FE0"/>
    <w:rsid w:val="00DC2AAC"/>
    <w:rsid w:val="00DC2C35"/>
    <w:rsid w:val="00DC366B"/>
    <w:rsid w:val="00DC382A"/>
    <w:rsid w:val="00DC44BA"/>
    <w:rsid w:val="00DC4955"/>
    <w:rsid w:val="00DC4FF3"/>
    <w:rsid w:val="00DC54F0"/>
    <w:rsid w:val="00DC6189"/>
    <w:rsid w:val="00DC6334"/>
    <w:rsid w:val="00DC6424"/>
    <w:rsid w:val="00DC64D5"/>
    <w:rsid w:val="00DC6716"/>
    <w:rsid w:val="00DC6844"/>
    <w:rsid w:val="00DC6B49"/>
    <w:rsid w:val="00DC70D5"/>
    <w:rsid w:val="00DC75A2"/>
    <w:rsid w:val="00DC776B"/>
    <w:rsid w:val="00DC7F72"/>
    <w:rsid w:val="00DD004C"/>
    <w:rsid w:val="00DD0512"/>
    <w:rsid w:val="00DD0B22"/>
    <w:rsid w:val="00DD0C58"/>
    <w:rsid w:val="00DD1A72"/>
    <w:rsid w:val="00DD1E04"/>
    <w:rsid w:val="00DD2C87"/>
    <w:rsid w:val="00DD2F2E"/>
    <w:rsid w:val="00DD2F99"/>
    <w:rsid w:val="00DD337C"/>
    <w:rsid w:val="00DD37F2"/>
    <w:rsid w:val="00DD4128"/>
    <w:rsid w:val="00DD48BA"/>
    <w:rsid w:val="00DD51B4"/>
    <w:rsid w:val="00DD5216"/>
    <w:rsid w:val="00DD5382"/>
    <w:rsid w:val="00DD54E7"/>
    <w:rsid w:val="00DD5947"/>
    <w:rsid w:val="00DD60A9"/>
    <w:rsid w:val="00DD6254"/>
    <w:rsid w:val="00DD6B51"/>
    <w:rsid w:val="00DD6CE5"/>
    <w:rsid w:val="00DD6D5A"/>
    <w:rsid w:val="00DD73FA"/>
    <w:rsid w:val="00DE0018"/>
    <w:rsid w:val="00DE09ED"/>
    <w:rsid w:val="00DE0ABB"/>
    <w:rsid w:val="00DE0DA7"/>
    <w:rsid w:val="00DE0DF8"/>
    <w:rsid w:val="00DE1012"/>
    <w:rsid w:val="00DE1075"/>
    <w:rsid w:val="00DE14CC"/>
    <w:rsid w:val="00DE15E9"/>
    <w:rsid w:val="00DE1828"/>
    <w:rsid w:val="00DE1923"/>
    <w:rsid w:val="00DE1AFD"/>
    <w:rsid w:val="00DE1BD5"/>
    <w:rsid w:val="00DE1D08"/>
    <w:rsid w:val="00DE1D56"/>
    <w:rsid w:val="00DE1FC0"/>
    <w:rsid w:val="00DE22B5"/>
    <w:rsid w:val="00DE235E"/>
    <w:rsid w:val="00DE29A2"/>
    <w:rsid w:val="00DE2B33"/>
    <w:rsid w:val="00DE2BA4"/>
    <w:rsid w:val="00DE2C80"/>
    <w:rsid w:val="00DE3561"/>
    <w:rsid w:val="00DE360C"/>
    <w:rsid w:val="00DE3988"/>
    <w:rsid w:val="00DE3E4D"/>
    <w:rsid w:val="00DE3FA2"/>
    <w:rsid w:val="00DE4131"/>
    <w:rsid w:val="00DE433C"/>
    <w:rsid w:val="00DE434C"/>
    <w:rsid w:val="00DE4532"/>
    <w:rsid w:val="00DE49CF"/>
    <w:rsid w:val="00DE506E"/>
    <w:rsid w:val="00DE5536"/>
    <w:rsid w:val="00DE55AE"/>
    <w:rsid w:val="00DE5AA1"/>
    <w:rsid w:val="00DE5C2D"/>
    <w:rsid w:val="00DE5CC7"/>
    <w:rsid w:val="00DE61D1"/>
    <w:rsid w:val="00DE638B"/>
    <w:rsid w:val="00DE65C9"/>
    <w:rsid w:val="00DE6919"/>
    <w:rsid w:val="00DE6DB6"/>
    <w:rsid w:val="00DE72EE"/>
    <w:rsid w:val="00DE7481"/>
    <w:rsid w:val="00DE75BE"/>
    <w:rsid w:val="00DE7E67"/>
    <w:rsid w:val="00DF050C"/>
    <w:rsid w:val="00DF07D2"/>
    <w:rsid w:val="00DF0AA0"/>
    <w:rsid w:val="00DF0ADF"/>
    <w:rsid w:val="00DF0B03"/>
    <w:rsid w:val="00DF0FFD"/>
    <w:rsid w:val="00DF23CF"/>
    <w:rsid w:val="00DF26B7"/>
    <w:rsid w:val="00DF29E7"/>
    <w:rsid w:val="00DF2BC4"/>
    <w:rsid w:val="00DF2C7F"/>
    <w:rsid w:val="00DF37E5"/>
    <w:rsid w:val="00DF3895"/>
    <w:rsid w:val="00DF4208"/>
    <w:rsid w:val="00DF42C4"/>
    <w:rsid w:val="00DF51AE"/>
    <w:rsid w:val="00DF558C"/>
    <w:rsid w:val="00DF5923"/>
    <w:rsid w:val="00DF6C06"/>
    <w:rsid w:val="00DF6EA2"/>
    <w:rsid w:val="00DF71DE"/>
    <w:rsid w:val="00DF7555"/>
    <w:rsid w:val="00DF7603"/>
    <w:rsid w:val="00DF77A5"/>
    <w:rsid w:val="00E0048E"/>
    <w:rsid w:val="00E004B8"/>
    <w:rsid w:val="00E009F0"/>
    <w:rsid w:val="00E01AF7"/>
    <w:rsid w:val="00E01D70"/>
    <w:rsid w:val="00E0265F"/>
    <w:rsid w:val="00E034FE"/>
    <w:rsid w:val="00E03709"/>
    <w:rsid w:val="00E0397B"/>
    <w:rsid w:val="00E03C4D"/>
    <w:rsid w:val="00E041E5"/>
    <w:rsid w:val="00E04287"/>
    <w:rsid w:val="00E04812"/>
    <w:rsid w:val="00E04888"/>
    <w:rsid w:val="00E04DEF"/>
    <w:rsid w:val="00E0525D"/>
    <w:rsid w:val="00E053DD"/>
    <w:rsid w:val="00E05F1B"/>
    <w:rsid w:val="00E06383"/>
    <w:rsid w:val="00E0639F"/>
    <w:rsid w:val="00E0696D"/>
    <w:rsid w:val="00E06D0B"/>
    <w:rsid w:val="00E07530"/>
    <w:rsid w:val="00E0763B"/>
    <w:rsid w:val="00E0796A"/>
    <w:rsid w:val="00E07CAC"/>
    <w:rsid w:val="00E10302"/>
    <w:rsid w:val="00E107D9"/>
    <w:rsid w:val="00E10F33"/>
    <w:rsid w:val="00E11380"/>
    <w:rsid w:val="00E118E6"/>
    <w:rsid w:val="00E1195F"/>
    <w:rsid w:val="00E11DCF"/>
    <w:rsid w:val="00E11E76"/>
    <w:rsid w:val="00E1223F"/>
    <w:rsid w:val="00E1258A"/>
    <w:rsid w:val="00E129AB"/>
    <w:rsid w:val="00E12E6D"/>
    <w:rsid w:val="00E133A7"/>
    <w:rsid w:val="00E133D1"/>
    <w:rsid w:val="00E13A49"/>
    <w:rsid w:val="00E13D25"/>
    <w:rsid w:val="00E15096"/>
    <w:rsid w:val="00E1651D"/>
    <w:rsid w:val="00E16AEA"/>
    <w:rsid w:val="00E16C0E"/>
    <w:rsid w:val="00E16C82"/>
    <w:rsid w:val="00E17EC5"/>
    <w:rsid w:val="00E2009D"/>
    <w:rsid w:val="00E20155"/>
    <w:rsid w:val="00E203B0"/>
    <w:rsid w:val="00E2074D"/>
    <w:rsid w:val="00E208B6"/>
    <w:rsid w:val="00E209FB"/>
    <w:rsid w:val="00E20ADE"/>
    <w:rsid w:val="00E2124E"/>
    <w:rsid w:val="00E21AD1"/>
    <w:rsid w:val="00E21B7B"/>
    <w:rsid w:val="00E21CD2"/>
    <w:rsid w:val="00E21F2D"/>
    <w:rsid w:val="00E23147"/>
    <w:rsid w:val="00E23381"/>
    <w:rsid w:val="00E23FD8"/>
    <w:rsid w:val="00E241BE"/>
    <w:rsid w:val="00E2471F"/>
    <w:rsid w:val="00E24EC1"/>
    <w:rsid w:val="00E255DF"/>
    <w:rsid w:val="00E262E0"/>
    <w:rsid w:val="00E26545"/>
    <w:rsid w:val="00E26A41"/>
    <w:rsid w:val="00E26BFD"/>
    <w:rsid w:val="00E26C55"/>
    <w:rsid w:val="00E26E5C"/>
    <w:rsid w:val="00E2727A"/>
    <w:rsid w:val="00E27E90"/>
    <w:rsid w:val="00E30136"/>
    <w:rsid w:val="00E301F2"/>
    <w:rsid w:val="00E30D8A"/>
    <w:rsid w:val="00E32077"/>
    <w:rsid w:val="00E326BF"/>
    <w:rsid w:val="00E328A7"/>
    <w:rsid w:val="00E32A4F"/>
    <w:rsid w:val="00E32CB9"/>
    <w:rsid w:val="00E32CBA"/>
    <w:rsid w:val="00E32CF3"/>
    <w:rsid w:val="00E32E5A"/>
    <w:rsid w:val="00E3307F"/>
    <w:rsid w:val="00E332B4"/>
    <w:rsid w:val="00E33601"/>
    <w:rsid w:val="00E336AB"/>
    <w:rsid w:val="00E336C8"/>
    <w:rsid w:val="00E336EA"/>
    <w:rsid w:val="00E337B6"/>
    <w:rsid w:val="00E33C83"/>
    <w:rsid w:val="00E33D02"/>
    <w:rsid w:val="00E34970"/>
    <w:rsid w:val="00E34F2C"/>
    <w:rsid w:val="00E34FAD"/>
    <w:rsid w:val="00E35AC2"/>
    <w:rsid w:val="00E35D2F"/>
    <w:rsid w:val="00E35D79"/>
    <w:rsid w:val="00E35E6A"/>
    <w:rsid w:val="00E36496"/>
    <w:rsid w:val="00E36A2A"/>
    <w:rsid w:val="00E3724A"/>
    <w:rsid w:val="00E3743D"/>
    <w:rsid w:val="00E37ED0"/>
    <w:rsid w:val="00E40316"/>
    <w:rsid w:val="00E40603"/>
    <w:rsid w:val="00E40D9B"/>
    <w:rsid w:val="00E41DF3"/>
    <w:rsid w:val="00E42138"/>
    <w:rsid w:val="00E42314"/>
    <w:rsid w:val="00E42A4B"/>
    <w:rsid w:val="00E42F7E"/>
    <w:rsid w:val="00E434AD"/>
    <w:rsid w:val="00E434DE"/>
    <w:rsid w:val="00E4350E"/>
    <w:rsid w:val="00E43707"/>
    <w:rsid w:val="00E43D07"/>
    <w:rsid w:val="00E44202"/>
    <w:rsid w:val="00E44235"/>
    <w:rsid w:val="00E443C2"/>
    <w:rsid w:val="00E44596"/>
    <w:rsid w:val="00E44735"/>
    <w:rsid w:val="00E44E46"/>
    <w:rsid w:val="00E45DB9"/>
    <w:rsid w:val="00E45FB3"/>
    <w:rsid w:val="00E4641E"/>
    <w:rsid w:val="00E469DA"/>
    <w:rsid w:val="00E475DC"/>
    <w:rsid w:val="00E47747"/>
    <w:rsid w:val="00E47D19"/>
    <w:rsid w:val="00E501FE"/>
    <w:rsid w:val="00E50BC7"/>
    <w:rsid w:val="00E50F86"/>
    <w:rsid w:val="00E519AE"/>
    <w:rsid w:val="00E51CCC"/>
    <w:rsid w:val="00E52175"/>
    <w:rsid w:val="00E523CE"/>
    <w:rsid w:val="00E527AD"/>
    <w:rsid w:val="00E52A45"/>
    <w:rsid w:val="00E52D27"/>
    <w:rsid w:val="00E53100"/>
    <w:rsid w:val="00E532BD"/>
    <w:rsid w:val="00E5365F"/>
    <w:rsid w:val="00E53B63"/>
    <w:rsid w:val="00E53B84"/>
    <w:rsid w:val="00E53E1B"/>
    <w:rsid w:val="00E54B8B"/>
    <w:rsid w:val="00E54B92"/>
    <w:rsid w:val="00E5521A"/>
    <w:rsid w:val="00E55C3E"/>
    <w:rsid w:val="00E55C5B"/>
    <w:rsid w:val="00E560DE"/>
    <w:rsid w:val="00E56149"/>
    <w:rsid w:val="00E561B7"/>
    <w:rsid w:val="00E5629D"/>
    <w:rsid w:val="00E563A8"/>
    <w:rsid w:val="00E56918"/>
    <w:rsid w:val="00E56D9E"/>
    <w:rsid w:val="00E570F4"/>
    <w:rsid w:val="00E578EF"/>
    <w:rsid w:val="00E57AF7"/>
    <w:rsid w:val="00E57B0E"/>
    <w:rsid w:val="00E57B2F"/>
    <w:rsid w:val="00E57CBE"/>
    <w:rsid w:val="00E57F60"/>
    <w:rsid w:val="00E57F97"/>
    <w:rsid w:val="00E602FF"/>
    <w:rsid w:val="00E603CE"/>
    <w:rsid w:val="00E6085A"/>
    <w:rsid w:val="00E6105E"/>
    <w:rsid w:val="00E610E8"/>
    <w:rsid w:val="00E6135A"/>
    <w:rsid w:val="00E6155D"/>
    <w:rsid w:val="00E6166A"/>
    <w:rsid w:val="00E61717"/>
    <w:rsid w:val="00E61A8C"/>
    <w:rsid w:val="00E61EEC"/>
    <w:rsid w:val="00E6241B"/>
    <w:rsid w:val="00E6338A"/>
    <w:rsid w:val="00E63554"/>
    <w:rsid w:val="00E6419A"/>
    <w:rsid w:val="00E641BA"/>
    <w:rsid w:val="00E6455F"/>
    <w:rsid w:val="00E645DC"/>
    <w:rsid w:val="00E64628"/>
    <w:rsid w:val="00E649DB"/>
    <w:rsid w:val="00E64FCC"/>
    <w:rsid w:val="00E64FD7"/>
    <w:rsid w:val="00E65196"/>
    <w:rsid w:val="00E65853"/>
    <w:rsid w:val="00E65CEC"/>
    <w:rsid w:val="00E65F7E"/>
    <w:rsid w:val="00E66085"/>
    <w:rsid w:val="00E6637C"/>
    <w:rsid w:val="00E66782"/>
    <w:rsid w:val="00E670AC"/>
    <w:rsid w:val="00E67173"/>
    <w:rsid w:val="00E67492"/>
    <w:rsid w:val="00E67B57"/>
    <w:rsid w:val="00E703B6"/>
    <w:rsid w:val="00E70AA1"/>
    <w:rsid w:val="00E70C04"/>
    <w:rsid w:val="00E7190F"/>
    <w:rsid w:val="00E71F15"/>
    <w:rsid w:val="00E72200"/>
    <w:rsid w:val="00E7247F"/>
    <w:rsid w:val="00E724B8"/>
    <w:rsid w:val="00E7262D"/>
    <w:rsid w:val="00E72B1B"/>
    <w:rsid w:val="00E72BD5"/>
    <w:rsid w:val="00E72C0C"/>
    <w:rsid w:val="00E72DD5"/>
    <w:rsid w:val="00E72ECD"/>
    <w:rsid w:val="00E731DC"/>
    <w:rsid w:val="00E73207"/>
    <w:rsid w:val="00E735F8"/>
    <w:rsid w:val="00E73E22"/>
    <w:rsid w:val="00E73F53"/>
    <w:rsid w:val="00E74A5D"/>
    <w:rsid w:val="00E74D26"/>
    <w:rsid w:val="00E75198"/>
    <w:rsid w:val="00E75C9B"/>
    <w:rsid w:val="00E75D47"/>
    <w:rsid w:val="00E75E00"/>
    <w:rsid w:val="00E75E4D"/>
    <w:rsid w:val="00E763BF"/>
    <w:rsid w:val="00E76573"/>
    <w:rsid w:val="00E766F5"/>
    <w:rsid w:val="00E76932"/>
    <w:rsid w:val="00E76B24"/>
    <w:rsid w:val="00E76E5C"/>
    <w:rsid w:val="00E770AE"/>
    <w:rsid w:val="00E7748F"/>
    <w:rsid w:val="00E77A28"/>
    <w:rsid w:val="00E77F0E"/>
    <w:rsid w:val="00E808A3"/>
    <w:rsid w:val="00E80EDF"/>
    <w:rsid w:val="00E80FC3"/>
    <w:rsid w:val="00E8145D"/>
    <w:rsid w:val="00E82948"/>
    <w:rsid w:val="00E82B28"/>
    <w:rsid w:val="00E82CCA"/>
    <w:rsid w:val="00E82F9C"/>
    <w:rsid w:val="00E83073"/>
    <w:rsid w:val="00E83206"/>
    <w:rsid w:val="00E83906"/>
    <w:rsid w:val="00E83928"/>
    <w:rsid w:val="00E848FB"/>
    <w:rsid w:val="00E84A0E"/>
    <w:rsid w:val="00E84FA1"/>
    <w:rsid w:val="00E85255"/>
    <w:rsid w:val="00E85AC3"/>
    <w:rsid w:val="00E85B8B"/>
    <w:rsid w:val="00E85C75"/>
    <w:rsid w:val="00E85E65"/>
    <w:rsid w:val="00E86A8F"/>
    <w:rsid w:val="00E86C86"/>
    <w:rsid w:val="00E87333"/>
    <w:rsid w:val="00E873D0"/>
    <w:rsid w:val="00E87A46"/>
    <w:rsid w:val="00E87FB0"/>
    <w:rsid w:val="00E9013A"/>
    <w:rsid w:val="00E90218"/>
    <w:rsid w:val="00E913BB"/>
    <w:rsid w:val="00E916D6"/>
    <w:rsid w:val="00E9184A"/>
    <w:rsid w:val="00E91952"/>
    <w:rsid w:val="00E91DB5"/>
    <w:rsid w:val="00E92708"/>
    <w:rsid w:val="00E93170"/>
    <w:rsid w:val="00E931A9"/>
    <w:rsid w:val="00E947D2"/>
    <w:rsid w:val="00E948E0"/>
    <w:rsid w:val="00E948E3"/>
    <w:rsid w:val="00E94B1C"/>
    <w:rsid w:val="00E94C21"/>
    <w:rsid w:val="00E94FAD"/>
    <w:rsid w:val="00E95A35"/>
    <w:rsid w:val="00E95A94"/>
    <w:rsid w:val="00E95F2E"/>
    <w:rsid w:val="00E96213"/>
    <w:rsid w:val="00E96388"/>
    <w:rsid w:val="00E96A23"/>
    <w:rsid w:val="00E96DF6"/>
    <w:rsid w:val="00E97177"/>
    <w:rsid w:val="00E9792E"/>
    <w:rsid w:val="00E97DC3"/>
    <w:rsid w:val="00EA0137"/>
    <w:rsid w:val="00EA0235"/>
    <w:rsid w:val="00EA06A5"/>
    <w:rsid w:val="00EA0834"/>
    <w:rsid w:val="00EA08E7"/>
    <w:rsid w:val="00EA109C"/>
    <w:rsid w:val="00EA1113"/>
    <w:rsid w:val="00EA1508"/>
    <w:rsid w:val="00EA1541"/>
    <w:rsid w:val="00EA1988"/>
    <w:rsid w:val="00EA1A5D"/>
    <w:rsid w:val="00EA29F4"/>
    <w:rsid w:val="00EA2B78"/>
    <w:rsid w:val="00EA2C8D"/>
    <w:rsid w:val="00EA2FB5"/>
    <w:rsid w:val="00EA3189"/>
    <w:rsid w:val="00EA32E4"/>
    <w:rsid w:val="00EA3404"/>
    <w:rsid w:val="00EA3630"/>
    <w:rsid w:val="00EA3C0D"/>
    <w:rsid w:val="00EA3D71"/>
    <w:rsid w:val="00EA4618"/>
    <w:rsid w:val="00EA484F"/>
    <w:rsid w:val="00EA4E37"/>
    <w:rsid w:val="00EA55EF"/>
    <w:rsid w:val="00EA59DF"/>
    <w:rsid w:val="00EA6859"/>
    <w:rsid w:val="00EA6C3B"/>
    <w:rsid w:val="00EA6E55"/>
    <w:rsid w:val="00EA71A7"/>
    <w:rsid w:val="00EA7B73"/>
    <w:rsid w:val="00EA7E36"/>
    <w:rsid w:val="00EB0335"/>
    <w:rsid w:val="00EB0650"/>
    <w:rsid w:val="00EB0898"/>
    <w:rsid w:val="00EB0AC1"/>
    <w:rsid w:val="00EB0CF4"/>
    <w:rsid w:val="00EB119E"/>
    <w:rsid w:val="00EB1957"/>
    <w:rsid w:val="00EB19B7"/>
    <w:rsid w:val="00EB1D27"/>
    <w:rsid w:val="00EB1E9C"/>
    <w:rsid w:val="00EB22CA"/>
    <w:rsid w:val="00EB24A7"/>
    <w:rsid w:val="00EB24CF"/>
    <w:rsid w:val="00EB2591"/>
    <w:rsid w:val="00EB2C4C"/>
    <w:rsid w:val="00EB315D"/>
    <w:rsid w:val="00EB35DF"/>
    <w:rsid w:val="00EB36F5"/>
    <w:rsid w:val="00EB47C1"/>
    <w:rsid w:val="00EB49B9"/>
    <w:rsid w:val="00EB4EA0"/>
    <w:rsid w:val="00EB51EB"/>
    <w:rsid w:val="00EB5BEB"/>
    <w:rsid w:val="00EB5CEF"/>
    <w:rsid w:val="00EB5F7D"/>
    <w:rsid w:val="00EB6239"/>
    <w:rsid w:val="00EB627B"/>
    <w:rsid w:val="00EB6906"/>
    <w:rsid w:val="00EB6AB1"/>
    <w:rsid w:val="00EB6D94"/>
    <w:rsid w:val="00EB7206"/>
    <w:rsid w:val="00EB7815"/>
    <w:rsid w:val="00EB7C4B"/>
    <w:rsid w:val="00EB7DDF"/>
    <w:rsid w:val="00EC05E6"/>
    <w:rsid w:val="00EC0724"/>
    <w:rsid w:val="00EC07D7"/>
    <w:rsid w:val="00EC0880"/>
    <w:rsid w:val="00EC0DC0"/>
    <w:rsid w:val="00EC17EA"/>
    <w:rsid w:val="00EC206D"/>
    <w:rsid w:val="00EC2098"/>
    <w:rsid w:val="00EC27E5"/>
    <w:rsid w:val="00EC281E"/>
    <w:rsid w:val="00EC4183"/>
    <w:rsid w:val="00EC4EA2"/>
    <w:rsid w:val="00EC53AA"/>
    <w:rsid w:val="00EC575F"/>
    <w:rsid w:val="00EC5950"/>
    <w:rsid w:val="00EC59EE"/>
    <w:rsid w:val="00EC5F32"/>
    <w:rsid w:val="00EC61A4"/>
    <w:rsid w:val="00EC6468"/>
    <w:rsid w:val="00EC653F"/>
    <w:rsid w:val="00EC656E"/>
    <w:rsid w:val="00EC6570"/>
    <w:rsid w:val="00EC6708"/>
    <w:rsid w:val="00EC68CC"/>
    <w:rsid w:val="00EC6E20"/>
    <w:rsid w:val="00EC7248"/>
    <w:rsid w:val="00EC7394"/>
    <w:rsid w:val="00EC74BE"/>
    <w:rsid w:val="00EC7A32"/>
    <w:rsid w:val="00ED02B3"/>
    <w:rsid w:val="00ED0361"/>
    <w:rsid w:val="00ED086A"/>
    <w:rsid w:val="00ED0D7F"/>
    <w:rsid w:val="00ED12E5"/>
    <w:rsid w:val="00ED1670"/>
    <w:rsid w:val="00ED1A98"/>
    <w:rsid w:val="00ED1CB6"/>
    <w:rsid w:val="00ED207C"/>
    <w:rsid w:val="00ED21BF"/>
    <w:rsid w:val="00ED2461"/>
    <w:rsid w:val="00ED24CB"/>
    <w:rsid w:val="00ED2D30"/>
    <w:rsid w:val="00ED2F16"/>
    <w:rsid w:val="00ED325A"/>
    <w:rsid w:val="00ED38A4"/>
    <w:rsid w:val="00ED3D76"/>
    <w:rsid w:val="00ED3E67"/>
    <w:rsid w:val="00ED3EA7"/>
    <w:rsid w:val="00ED3F41"/>
    <w:rsid w:val="00ED4089"/>
    <w:rsid w:val="00ED4D16"/>
    <w:rsid w:val="00ED5615"/>
    <w:rsid w:val="00ED6234"/>
    <w:rsid w:val="00ED692E"/>
    <w:rsid w:val="00ED69AF"/>
    <w:rsid w:val="00ED6B3B"/>
    <w:rsid w:val="00ED6C5A"/>
    <w:rsid w:val="00ED793C"/>
    <w:rsid w:val="00ED7D7F"/>
    <w:rsid w:val="00EE023D"/>
    <w:rsid w:val="00EE0B35"/>
    <w:rsid w:val="00EE116C"/>
    <w:rsid w:val="00EE1286"/>
    <w:rsid w:val="00EE13CF"/>
    <w:rsid w:val="00EE1847"/>
    <w:rsid w:val="00EE240E"/>
    <w:rsid w:val="00EE2560"/>
    <w:rsid w:val="00EE3092"/>
    <w:rsid w:val="00EE329E"/>
    <w:rsid w:val="00EE3421"/>
    <w:rsid w:val="00EE3546"/>
    <w:rsid w:val="00EE44CE"/>
    <w:rsid w:val="00EE47AE"/>
    <w:rsid w:val="00EE544C"/>
    <w:rsid w:val="00EE5654"/>
    <w:rsid w:val="00EE5655"/>
    <w:rsid w:val="00EE6308"/>
    <w:rsid w:val="00EE66C0"/>
    <w:rsid w:val="00EE688E"/>
    <w:rsid w:val="00EE6A6D"/>
    <w:rsid w:val="00EE6AA2"/>
    <w:rsid w:val="00EE7276"/>
    <w:rsid w:val="00EE7659"/>
    <w:rsid w:val="00EF034B"/>
    <w:rsid w:val="00EF03E2"/>
    <w:rsid w:val="00EF0B24"/>
    <w:rsid w:val="00EF0B67"/>
    <w:rsid w:val="00EF0DE1"/>
    <w:rsid w:val="00EF141D"/>
    <w:rsid w:val="00EF14DC"/>
    <w:rsid w:val="00EF171E"/>
    <w:rsid w:val="00EF1ADE"/>
    <w:rsid w:val="00EF1B85"/>
    <w:rsid w:val="00EF1C5A"/>
    <w:rsid w:val="00EF1D4E"/>
    <w:rsid w:val="00EF270E"/>
    <w:rsid w:val="00EF359F"/>
    <w:rsid w:val="00EF371A"/>
    <w:rsid w:val="00EF37D0"/>
    <w:rsid w:val="00EF39B8"/>
    <w:rsid w:val="00EF3A19"/>
    <w:rsid w:val="00EF43CE"/>
    <w:rsid w:val="00EF4C92"/>
    <w:rsid w:val="00EF4E55"/>
    <w:rsid w:val="00EF58DD"/>
    <w:rsid w:val="00EF5931"/>
    <w:rsid w:val="00EF6EA7"/>
    <w:rsid w:val="00EF7069"/>
    <w:rsid w:val="00EF77AF"/>
    <w:rsid w:val="00EF7F8B"/>
    <w:rsid w:val="00F0002B"/>
    <w:rsid w:val="00F00120"/>
    <w:rsid w:val="00F00BC0"/>
    <w:rsid w:val="00F00FBF"/>
    <w:rsid w:val="00F01146"/>
    <w:rsid w:val="00F01384"/>
    <w:rsid w:val="00F0153C"/>
    <w:rsid w:val="00F01C81"/>
    <w:rsid w:val="00F02115"/>
    <w:rsid w:val="00F02541"/>
    <w:rsid w:val="00F025FC"/>
    <w:rsid w:val="00F02AE7"/>
    <w:rsid w:val="00F02CBA"/>
    <w:rsid w:val="00F02DFC"/>
    <w:rsid w:val="00F0300F"/>
    <w:rsid w:val="00F032E6"/>
    <w:rsid w:val="00F03814"/>
    <w:rsid w:val="00F03A41"/>
    <w:rsid w:val="00F03BBA"/>
    <w:rsid w:val="00F03C69"/>
    <w:rsid w:val="00F03D11"/>
    <w:rsid w:val="00F04489"/>
    <w:rsid w:val="00F04693"/>
    <w:rsid w:val="00F04B5E"/>
    <w:rsid w:val="00F05298"/>
    <w:rsid w:val="00F05E71"/>
    <w:rsid w:val="00F063A5"/>
    <w:rsid w:val="00F066B1"/>
    <w:rsid w:val="00F07A09"/>
    <w:rsid w:val="00F10B88"/>
    <w:rsid w:val="00F11178"/>
    <w:rsid w:val="00F1193C"/>
    <w:rsid w:val="00F11EC1"/>
    <w:rsid w:val="00F12934"/>
    <w:rsid w:val="00F12B49"/>
    <w:rsid w:val="00F12DD6"/>
    <w:rsid w:val="00F12E4F"/>
    <w:rsid w:val="00F1390C"/>
    <w:rsid w:val="00F13E69"/>
    <w:rsid w:val="00F145E4"/>
    <w:rsid w:val="00F14D98"/>
    <w:rsid w:val="00F14F2E"/>
    <w:rsid w:val="00F159C1"/>
    <w:rsid w:val="00F15C7D"/>
    <w:rsid w:val="00F15FBD"/>
    <w:rsid w:val="00F16662"/>
    <w:rsid w:val="00F1677B"/>
    <w:rsid w:val="00F16899"/>
    <w:rsid w:val="00F16A12"/>
    <w:rsid w:val="00F16E95"/>
    <w:rsid w:val="00F17123"/>
    <w:rsid w:val="00F17464"/>
    <w:rsid w:val="00F175A3"/>
    <w:rsid w:val="00F17A9E"/>
    <w:rsid w:val="00F17FC9"/>
    <w:rsid w:val="00F20C5E"/>
    <w:rsid w:val="00F20E38"/>
    <w:rsid w:val="00F2104A"/>
    <w:rsid w:val="00F21187"/>
    <w:rsid w:val="00F21295"/>
    <w:rsid w:val="00F21341"/>
    <w:rsid w:val="00F214DD"/>
    <w:rsid w:val="00F216FD"/>
    <w:rsid w:val="00F22722"/>
    <w:rsid w:val="00F22A54"/>
    <w:rsid w:val="00F22A7B"/>
    <w:rsid w:val="00F23A10"/>
    <w:rsid w:val="00F23A49"/>
    <w:rsid w:val="00F24D4A"/>
    <w:rsid w:val="00F257EF"/>
    <w:rsid w:val="00F25817"/>
    <w:rsid w:val="00F25868"/>
    <w:rsid w:val="00F26B34"/>
    <w:rsid w:val="00F2722A"/>
    <w:rsid w:val="00F27A40"/>
    <w:rsid w:val="00F301F8"/>
    <w:rsid w:val="00F30575"/>
    <w:rsid w:val="00F307DB"/>
    <w:rsid w:val="00F30A22"/>
    <w:rsid w:val="00F30C5B"/>
    <w:rsid w:val="00F30E6C"/>
    <w:rsid w:val="00F31BCE"/>
    <w:rsid w:val="00F31CC2"/>
    <w:rsid w:val="00F31FB7"/>
    <w:rsid w:val="00F32318"/>
    <w:rsid w:val="00F32BED"/>
    <w:rsid w:val="00F33118"/>
    <w:rsid w:val="00F33AF4"/>
    <w:rsid w:val="00F34276"/>
    <w:rsid w:val="00F342DE"/>
    <w:rsid w:val="00F343A7"/>
    <w:rsid w:val="00F34B89"/>
    <w:rsid w:val="00F352D2"/>
    <w:rsid w:val="00F356BE"/>
    <w:rsid w:val="00F35AED"/>
    <w:rsid w:val="00F35F50"/>
    <w:rsid w:val="00F365C6"/>
    <w:rsid w:val="00F36A1D"/>
    <w:rsid w:val="00F36ACD"/>
    <w:rsid w:val="00F36BE8"/>
    <w:rsid w:val="00F36C80"/>
    <w:rsid w:val="00F36E32"/>
    <w:rsid w:val="00F37291"/>
    <w:rsid w:val="00F37567"/>
    <w:rsid w:val="00F378FE"/>
    <w:rsid w:val="00F37D64"/>
    <w:rsid w:val="00F37EBC"/>
    <w:rsid w:val="00F40245"/>
    <w:rsid w:val="00F4036D"/>
    <w:rsid w:val="00F405AE"/>
    <w:rsid w:val="00F40888"/>
    <w:rsid w:val="00F4095C"/>
    <w:rsid w:val="00F40B0F"/>
    <w:rsid w:val="00F40EA3"/>
    <w:rsid w:val="00F41122"/>
    <w:rsid w:val="00F41969"/>
    <w:rsid w:val="00F425EA"/>
    <w:rsid w:val="00F42B7B"/>
    <w:rsid w:val="00F42E49"/>
    <w:rsid w:val="00F43B94"/>
    <w:rsid w:val="00F43FE0"/>
    <w:rsid w:val="00F44079"/>
    <w:rsid w:val="00F44278"/>
    <w:rsid w:val="00F445A3"/>
    <w:rsid w:val="00F44A8C"/>
    <w:rsid w:val="00F44D06"/>
    <w:rsid w:val="00F44EF7"/>
    <w:rsid w:val="00F453A3"/>
    <w:rsid w:val="00F456A7"/>
    <w:rsid w:val="00F460AF"/>
    <w:rsid w:val="00F46555"/>
    <w:rsid w:val="00F4748C"/>
    <w:rsid w:val="00F4773E"/>
    <w:rsid w:val="00F47971"/>
    <w:rsid w:val="00F47E45"/>
    <w:rsid w:val="00F50793"/>
    <w:rsid w:val="00F515E8"/>
    <w:rsid w:val="00F517E1"/>
    <w:rsid w:val="00F519E9"/>
    <w:rsid w:val="00F51B65"/>
    <w:rsid w:val="00F51DE6"/>
    <w:rsid w:val="00F51E25"/>
    <w:rsid w:val="00F52958"/>
    <w:rsid w:val="00F52AAB"/>
    <w:rsid w:val="00F52DC6"/>
    <w:rsid w:val="00F52EB6"/>
    <w:rsid w:val="00F52F49"/>
    <w:rsid w:val="00F53B46"/>
    <w:rsid w:val="00F551A4"/>
    <w:rsid w:val="00F55260"/>
    <w:rsid w:val="00F55592"/>
    <w:rsid w:val="00F55DC9"/>
    <w:rsid w:val="00F5619F"/>
    <w:rsid w:val="00F562D0"/>
    <w:rsid w:val="00F56356"/>
    <w:rsid w:val="00F56481"/>
    <w:rsid w:val="00F57769"/>
    <w:rsid w:val="00F57CFF"/>
    <w:rsid w:val="00F60021"/>
    <w:rsid w:val="00F60E62"/>
    <w:rsid w:val="00F60F87"/>
    <w:rsid w:val="00F61686"/>
    <w:rsid w:val="00F62321"/>
    <w:rsid w:val="00F6251D"/>
    <w:rsid w:val="00F62FD2"/>
    <w:rsid w:val="00F6316B"/>
    <w:rsid w:val="00F633F3"/>
    <w:rsid w:val="00F63403"/>
    <w:rsid w:val="00F63B68"/>
    <w:rsid w:val="00F63CC8"/>
    <w:rsid w:val="00F63FED"/>
    <w:rsid w:val="00F64381"/>
    <w:rsid w:val="00F646FB"/>
    <w:rsid w:val="00F64A9F"/>
    <w:rsid w:val="00F65376"/>
    <w:rsid w:val="00F657A1"/>
    <w:rsid w:val="00F657D2"/>
    <w:rsid w:val="00F65AE0"/>
    <w:rsid w:val="00F66361"/>
    <w:rsid w:val="00F66971"/>
    <w:rsid w:val="00F67399"/>
    <w:rsid w:val="00F67D8F"/>
    <w:rsid w:val="00F70018"/>
    <w:rsid w:val="00F7024A"/>
    <w:rsid w:val="00F7085C"/>
    <w:rsid w:val="00F70EC9"/>
    <w:rsid w:val="00F71151"/>
    <w:rsid w:val="00F7119A"/>
    <w:rsid w:val="00F71243"/>
    <w:rsid w:val="00F71F2B"/>
    <w:rsid w:val="00F72DA5"/>
    <w:rsid w:val="00F73CD9"/>
    <w:rsid w:val="00F74554"/>
    <w:rsid w:val="00F74561"/>
    <w:rsid w:val="00F74A3D"/>
    <w:rsid w:val="00F74E38"/>
    <w:rsid w:val="00F7520F"/>
    <w:rsid w:val="00F761B8"/>
    <w:rsid w:val="00F7623E"/>
    <w:rsid w:val="00F764F1"/>
    <w:rsid w:val="00F76BBD"/>
    <w:rsid w:val="00F76D6F"/>
    <w:rsid w:val="00F77124"/>
    <w:rsid w:val="00F778B0"/>
    <w:rsid w:val="00F7792E"/>
    <w:rsid w:val="00F77965"/>
    <w:rsid w:val="00F80A95"/>
    <w:rsid w:val="00F80B33"/>
    <w:rsid w:val="00F80EBD"/>
    <w:rsid w:val="00F8112C"/>
    <w:rsid w:val="00F814CB"/>
    <w:rsid w:val="00F8186E"/>
    <w:rsid w:val="00F81A39"/>
    <w:rsid w:val="00F81B4D"/>
    <w:rsid w:val="00F81BB2"/>
    <w:rsid w:val="00F81EDE"/>
    <w:rsid w:val="00F81F03"/>
    <w:rsid w:val="00F82A04"/>
    <w:rsid w:val="00F82B42"/>
    <w:rsid w:val="00F82E38"/>
    <w:rsid w:val="00F8307E"/>
    <w:rsid w:val="00F830C3"/>
    <w:rsid w:val="00F83293"/>
    <w:rsid w:val="00F833F6"/>
    <w:rsid w:val="00F8352C"/>
    <w:rsid w:val="00F83BC2"/>
    <w:rsid w:val="00F83C73"/>
    <w:rsid w:val="00F83E4C"/>
    <w:rsid w:val="00F84086"/>
    <w:rsid w:val="00F84229"/>
    <w:rsid w:val="00F8475F"/>
    <w:rsid w:val="00F848A4"/>
    <w:rsid w:val="00F84B03"/>
    <w:rsid w:val="00F84DBD"/>
    <w:rsid w:val="00F85144"/>
    <w:rsid w:val="00F8544A"/>
    <w:rsid w:val="00F8570D"/>
    <w:rsid w:val="00F857DB"/>
    <w:rsid w:val="00F85FB8"/>
    <w:rsid w:val="00F8611E"/>
    <w:rsid w:val="00F8619C"/>
    <w:rsid w:val="00F86DF6"/>
    <w:rsid w:val="00F87551"/>
    <w:rsid w:val="00F904E2"/>
    <w:rsid w:val="00F907B7"/>
    <w:rsid w:val="00F90B8D"/>
    <w:rsid w:val="00F90CE3"/>
    <w:rsid w:val="00F90D80"/>
    <w:rsid w:val="00F90D84"/>
    <w:rsid w:val="00F90DAD"/>
    <w:rsid w:val="00F91006"/>
    <w:rsid w:val="00F9137F"/>
    <w:rsid w:val="00F916B9"/>
    <w:rsid w:val="00F919A7"/>
    <w:rsid w:val="00F91ADE"/>
    <w:rsid w:val="00F91B02"/>
    <w:rsid w:val="00F91D16"/>
    <w:rsid w:val="00F92380"/>
    <w:rsid w:val="00F923AF"/>
    <w:rsid w:val="00F92DC5"/>
    <w:rsid w:val="00F92EC1"/>
    <w:rsid w:val="00F932F6"/>
    <w:rsid w:val="00F934B6"/>
    <w:rsid w:val="00F93691"/>
    <w:rsid w:val="00F938CE"/>
    <w:rsid w:val="00F93912"/>
    <w:rsid w:val="00F94686"/>
    <w:rsid w:val="00F946F5"/>
    <w:rsid w:val="00F9475B"/>
    <w:rsid w:val="00F94BCB"/>
    <w:rsid w:val="00F94C47"/>
    <w:rsid w:val="00F951F8"/>
    <w:rsid w:val="00F953C9"/>
    <w:rsid w:val="00F95710"/>
    <w:rsid w:val="00F9595A"/>
    <w:rsid w:val="00F9659B"/>
    <w:rsid w:val="00F968E7"/>
    <w:rsid w:val="00F96AA9"/>
    <w:rsid w:val="00F96C4B"/>
    <w:rsid w:val="00F96D0D"/>
    <w:rsid w:val="00F97425"/>
    <w:rsid w:val="00F975D6"/>
    <w:rsid w:val="00F97F68"/>
    <w:rsid w:val="00FA0148"/>
    <w:rsid w:val="00FA0421"/>
    <w:rsid w:val="00FA090A"/>
    <w:rsid w:val="00FA0912"/>
    <w:rsid w:val="00FA0C66"/>
    <w:rsid w:val="00FA1956"/>
    <w:rsid w:val="00FA1CDA"/>
    <w:rsid w:val="00FA1D9D"/>
    <w:rsid w:val="00FA1DCF"/>
    <w:rsid w:val="00FA1DD9"/>
    <w:rsid w:val="00FA1E63"/>
    <w:rsid w:val="00FA1EE4"/>
    <w:rsid w:val="00FA2310"/>
    <w:rsid w:val="00FA25F5"/>
    <w:rsid w:val="00FA2BD2"/>
    <w:rsid w:val="00FA2CA8"/>
    <w:rsid w:val="00FA2EB8"/>
    <w:rsid w:val="00FA3389"/>
    <w:rsid w:val="00FA3475"/>
    <w:rsid w:val="00FA3476"/>
    <w:rsid w:val="00FA361A"/>
    <w:rsid w:val="00FA4423"/>
    <w:rsid w:val="00FA44E5"/>
    <w:rsid w:val="00FA4CA1"/>
    <w:rsid w:val="00FA4F43"/>
    <w:rsid w:val="00FA5305"/>
    <w:rsid w:val="00FA5335"/>
    <w:rsid w:val="00FA56BC"/>
    <w:rsid w:val="00FA5A71"/>
    <w:rsid w:val="00FA5C31"/>
    <w:rsid w:val="00FA5C75"/>
    <w:rsid w:val="00FA65E2"/>
    <w:rsid w:val="00FA669E"/>
    <w:rsid w:val="00FA6798"/>
    <w:rsid w:val="00FA6919"/>
    <w:rsid w:val="00FA69E6"/>
    <w:rsid w:val="00FA75C6"/>
    <w:rsid w:val="00FA7886"/>
    <w:rsid w:val="00FA7C3C"/>
    <w:rsid w:val="00FA7E49"/>
    <w:rsid w:val="00FB0A5A"/>
    <w:rsid w:val="00FB0C10"/>
    <w:rsid w:val="00FB1181"/>
    <w:rsid w:val="00FB12B9"/>
    <w:rsid w:val="00FB14D8"/>
    <w:rsid w:val="00FB257D"/>
    <w:rsid w:val="00FB2E48"/>
    <w:rsid w:val="00FB3364"/>
    <w:rsid w:val="00FB3C36"/>
    <w:rsid w:val="00FB423D"/>
    <w:rsid w:val="00FB4280"/>
    <w:rsid w:val="00FB455E"/>
    <w:rsid w:val="00FB4AFC"/>
    <w:rsid w:val="00FB4B60"/>
    <w:rsid w:val="00FB5191"/>
    <w:rsid w:val="00FB5214"/>
    <w:rsid w:val="00FB57F8"/>
    <w:rsid w:val="00FB580D"/>
    <w:rsid w:val="00FB5B7F"/>
    <w:rsid w:val="00FB5C2A"/>
    <w:rsid w:val="00FB5CB5"/>
    <w:rsid w:val="00FB645A"/>
    <w:rsid w:val="00FB671F"/>
    <w:rsid w:val="00FB68DE"/>
    <w:rsid w:val="00FB6B05"/>
    <w:rsid w:val="00FB6DA7"/>
    <w:rsid w:val="00FB702A"/>
    <w:rsid w:val="00FB75AE"/>
    <w:rsid w:val="00FB77D8"/>
    <w:rsid w:val="00FB7B14"/>
    <w:rsid w:val="00FB7CCE"/>
    <w:rsid w:val="00FC0104"/>
    <w:rsid w:val="00FC01C8"/>
    <w:rsid w:val="00FC0519"/>
    <w:rsid w:val="00FC06D9"/>
    <w:rsid w:val="00FC0A92"/>
    <w:rsid w:val="00FC0D8F"/>
    <w:rsid w:val="00FC0F0F"/>
    <w:rsid w:val="00FC0F61"/>
    <w:rsid w:val="00FC145B"/>
    <w:rsid w:val="00FC1577"/>
    <w:rsid w:val="00FC198F"/>
    <w:rsid w:val="00FC1ED9"/>
    <w:rsid w:val="00FC2CA4"/>
    <w:rsid w:val="00FC2DEE"/>
    <w:rsid w:val="00FC3501"/>
    <w:rsid w:val="00FC36A1"/>
    <w:rsid w:val="00FC3790"/>
    <w:rsid w:val="00FC3864"/>
    <w:rsid w:val="00FC397F"/>
    <w:rsid w:val="00FC39FD"/>
    <w:rsid w:val="00FC3D67"/>
    <w:rsid w:val="00FC423D"/>
    <w:rsid w:val="00FC44C9"/>
    <w:rsid w:val="00FC46CF"/>
    <w:rsid w:val="00FC46E6"/>
    <w:rsid w:val="00FC49D9"/>
    <w:rsid w:val="00FC5027"/>
    <w:rsid w:val="00FC50C7"/>
    <w:rsid w:val="00FC511D"/>
    <w:rsid w:val="00FC6034"/>
    <w:rsid w:val="00FC68BC"/>
    <w:rsid w:val="00FC7366"/>
    <w:rsid w:val="00FC74ED"/>
    <w:rsid w:val="00FC75E3"/>
    <w:rsid w:val="00FC76E2"/>
    <w:rsid w:val="00FC7925"/>
    <w:rsid w:val="00FC7938"/>
    <w:rsid w:val="00FC7FA4"/>
    <w:rsid w:val="00FD035C"/>
    <w:rsid w:val="00FD07EF"/>
    <w:rsid w:val="00FD097A"/>
    <w:rsid w:val="00FD0E3D"/>
    <w:rsid w:val="00FD11D4"/>
    <w:rsid w:val="00FD1DD0"/>
    <w:rsid w:val="00FD217B"/>
    <w:rsid w:val="00FD225D"/>
    <w:rsid w:val="00FD2384"/>
    <w:rsid w:val="00FD29D4"/>
    <w:rsid w:val="00FD2DC5"/>
    <w:rsid w:val="00FD2E6C"/>
    <w:rsid w:val="00FD3B86"/>
    <w:rsid w:val="00FD42AA"/>
    <w:rsid w:val="00FD4C24"/>
    <w:rsid w:val="00FD4C88"/>
    <w:rsid w:val="00FD4F32"/>
    <w:rsid w:val="00FD5989"/>
    <w:rsid w:val="00FD59ED"/>
    <w:rsid w:val="00FD66C6"/>
    <w:rsid w:val="00FD6873"/>
    <w:rsid w:val="00FD7C9B"/>
    <w:rsid w:val="00FD7D34"/>
    <w:rsid w:val="00FD7E19"/>
    <w:rsid w:val="00FD7F27"/>
    <w:rsid w:val="00FE035B"/>
    <w:rsid w:val="00FE0E7B"/>
    <w:rsid w:val="00FE0F68"/>
    <w:rsid w:val="00FE0FFD"/>
    <w:rsid w:val="00FE11B5"/>
    <w:rsid w:val="00FE125C"/>
    <w:rsid w:val="00FE15D9"/>
    <w:rsid w:val="00FE1F3B"/>
    <w:rsid w:val="00FE2390"/>
    <w:rsid w:val="00FE2BEA"/>
    <w:rsid w:val="00FE2F3B"/>
    <w:rsid w:val="00FE3482"/>
    <w:rsid w:val="00FE3549"/>
    <w:rsid w:val="00FE452E"/>
    <w:rsid w:val="00FE4827"/>
    <w:rsid w:val="00FE4963"/>
    <w:rsid w:val="00FE4D94"/>
    <w:rsid w:val="00FE4F7D"/>
    <w:rsid w:val="00FE4FA3"/>
    <w:rsid w:val="00FE58C7"/>
    <w:rsid w:val="00FE5C7B"/>
    <w:rsid w:val="00FE6060"/>
    <w:rsid w:val="00FE630D"/>
    <w:rsid w:val="00FE650C"/>
    <w:rsid w:val="00FE740F"/>
    <w:rsid w:val="00FE7418"/>
    <w:rsid w:val="00FE7AD8"/>
    <w:rsid w:val="00FE7B6C"/>
    <w:rsid w:val="00FF03C0"/>
    <w:rsid w:val="00FF0667"/>
    <w:rsid w:val="00FF14E2"/>
    <w:rsid w:val="00FF1B5F"/>
    <w:rsid w:val="00FF2612"/>
    <w:rsid w:val="00FF2806"/>
    <w:rsid w:val="00FF2AED"/>
    <w:rsid w:val="00FF2D9A"/>
    <w:rsid w:val="00FF3663"/>
    <w:rsid w:val="00FF37F8"/>
    <w:rsid w:val="00FF3AF0"/>
    <w:rsid w:val="00FF3B7A"/>
    <w:rsid w:val="00FF4275"/>
    <w:rsid w:val="00FF436A"/>
    <w:rsid w:val="00FF4586"/>
    <w:rsid w:val="00FF4A4C"/>
    <w:rsid w:val="00FF4C15"/>
    <w:rsid w:val="00FF4F2F"/>
    <w:rsid w:val="00FF5BFB"/>
    <w:rsid w:val="00FF5E54"/>
    <w:rsid w:val="00FF6774"/>
    <w:rsid w:val="00FF69EA"/>
    <w:rsid w:val="00FF70A3"/>
    <w:rsid w:val="00FF70F1"/>
    <w:rsid w:val="00FF754D"/>
    <w:rsid w:val="00FF761C"/>
    <w:rsid w:val="00FF7DD5"/>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47BD5"/>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s-ES_tradnl" w:eastAsia="en-US" w:bidi="ar-SA"/>
    </w:rPr>
  </w:style>
  <w:style w:type="paragraph" w:customStyle="1" w:styleId="recomen">
    <w:name w:val="recomen"/>
    <w:basedOn w:val="texto"/>
    <w:rsid w:val="001D4F09"/>
    <w:pPr>
      <w:numPr>
        <w:numId w:val="2"/>
      </w:numPr>
      <w:tabs>
        <w:tab w:val="clear" w:pos="2835"/>
        <w:tab w:val="clear" w:pos="3969"/>
        <w:tab w:val="clear" w:pos="5103"/>
        <w:tab w:val="clear" w:pos="6237"/>
        <w:tab w:val="clear" w:pos="7371"/>
      </w:tabs>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rsid w:val="00882BEB"/>
    <w:rPr>
      <w:rFonts w:ascii="Arial" w:hAnsi="Arial"/>
      <w:bCs/>
      <w:iCs/>
      <w:color w:val="000000"/>
      <w:spacing w:val="10"/>
      <w:kern w:val="28"/>
      <w:sz w:val="25"/>
      <w:szCs w:val="26"/>
      <w:lang w:val="es-ES_tradnl" w:eastAsia="en-US" w:bidi="ar-SA"/>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8C27C2"/>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s-ES_tradnl"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s-ES_tradnl"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s-ES_tradnl" w:eastAsia="en-US"/>
    </w:rPr>
  </w:style>
  <w:style w:type="character" w:customStyle="1" w:styleId="atitulo1Car">
    <w:name w:val="atitulo1 Car"/>
    <w:link w:val="atitulo1"/>
    <w:rsid w:val="0066012B"/>
    <w:rPr>
      <w:rFonts w:ascii="Arial" w:hAnsi="Arial"/>
      <w:b/>
      <w:color w:val="000000"/>
      <w:kern w:val="28"/>
      <w:sz w:val="25"/>
      <w:szCs w:val="26"/>
      <w:lang w:val="es-ES_tradnl"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s-ES_tradnl"/>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val="es-ES" w:eastAsia="es-ES"/>
    </w:rPr>
  </w:style>
  <w:style w:type="paragraph" w:customStyle="1" w:styleId="xl2">
    <w:name w:val="xl2"/>
    <w:basedOn w:val="Normal"/>
    <w:rsid w:val="00E2009D"/>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s-ES_tradnl" w:eastAsia="en-US"/>
    </w:rPr>
  </w:style>
  <w:style w:type="character" w:customStyle="1" w:styleId="Ttulo4Car">
    <w:name w:val="Título 4 Car"/>
    <w:basedOn w:val="Fuentedeprrafopredeter"/>
    <w:link w:val="Ttulo4"/>
    <w:uiPriority w:val="99"/>
    <w:rsid w:val="006535AB"/>
    <w:rPr>
      <w:b/>
      <w:bCs/>
      <w:sz w:val="28"/>
      <w:szCs w:val="28"/>
      <w:lang w:val="es-ES_tradnl"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535AB"/>
    <w:rPr>
      <w:rFonts w:ascii="Arial" w:hAnsi="Arial" w:cs="Arial"/>
      <w:b/>
      <w:bCs/>
      <w:szCs w:val="26"/>
      <w:lang w:val="es-ES_tradnl"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s-ES_tradnl" w:eastAsia="en-U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s-ES_tradnl"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s-ES_tradnl" w:eastAsia="en-U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s-ES_tradnl" w:eastAsia="en-U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n-US"/>
    </w:rPr>
  </w:style>
  <w:style w:type="paragraph" w:customStyle="1" w:styleId="cuatitul">
    <w:name w:val="cuatitul"/>
    <w:basedOn w:val="Normal"/>
    <w:rsid w:val="00497839"/>
    <w:pPr>
      <w:spacing w:after="60"/>
      <w:ind w:firstLine="0"/>
      <w:jc w:val="center"/>
    </w:pPr>
    <w:rPr>
      <w:rFonts w:ascii="GillSans" w:hAnsi="GillSans"/>
      <w:sz w:val="22"/>
      <w:lang w:eastAsia="es-ES"/>
    </w:rPr>
  </w:style>
  <w:style w:type="paragraph" w:customStyle="1" w:styleId="Tabla">
    <w:name w:val="Tabla"/>
    <w:basedOn w:val="Normal"/>
    <w:rsid w:val="00497839"/>
    <w:pPr>
      <w:spacing w:after="0"/>
      <w:ind w:firstLine="0"/>
    </w:pPr>
    <w:rPr>
      <w:rFonts w:ascii="Arial" w:hAnsi="Arial"/>
      <w:sz w:val="16"/>
      <w:lang w:eastAsia="es-ES"/>
    </w:rPr>
  </w:style>
  <w:style w:type="character" w:customStyle="1" w:styleId="atitulo3Car">
    <w:name w:val="atitulo3 Car"/>
    <w:link w:val="atitulo3"/>
    <w:rsid w:val="004C3AFE"/>
    <w:rPr>
      <w:rFonts w:ascii="Arial" w:hAnsi="Arial"/>
      <w:i/>
      <w:iCs/>
      <w:color w:val="000000"/>
      <w:spacing w:val="10"/>
      <w:kern w:val="28"/>
      <w:sz w:val="25"/>
      <w:szCs w:val="26"/>
      <w:lang w:val="es-ES_tradnl" w:eastAsia="en-US"/>
    </w:rPr>
  </w:style>
  <w:style w:type="table" w:customStyle="1" w:styleId="Tablaconcuadrcula2">
    <w:name w:val="Tabla con cuadrícula2"/>
    <w:basedOn w:val="Tablanormal"/>
    <w:next w:val="Tablaconcuadrcula"/>
    <w:uiPriority w:val="59"/>
    <w:rsid w:val="00963DE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C42403"/>
    <w:pPr>
      <w:spacing w:after="240"/>
      <w:ind w:left="300" w:right="75" w:firstLine="0"/>
    </w:pPr>
    <w:rPr>
      <w:sz w:val="24"/>
      <w:szCs w:val="24"/>
      <w:lang w:val="es-ES" w:eastAsia="es-ES"/>
    </w:rPr>
  </w:style>
  <w:style w:type="character" w:customStyle="1" w:styleId="st1">
    <w:name w:val="st1"/>
    <w:basedOn w:val="Fuentedeprrafopredeter"/>
    <w:rsid w:val="007A4B43"/>
  </w:style>
  <w:style w:type="character" w:customStyle="1" w:styleId="apple-converted-space">
    <w:name w:val="apple-converted-space"/>
    <w:basedOn w:val="Fuentedeprrafopredeter"/>
    <w:rsid w:val="008B1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47BD5"/>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6535A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6535A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rsid w:val="001D4F09"/>
    <w:rPr>
      <w:spacing w:val="6"/>
      <w:sz w:val="26"/>
      <w:szCs w:val="24"/>
      <w:lang w:val="es-ES_tradnl" w:eastAsia="en-US" w:bidi="ar-SA"/>
    </w:rPr>
  </w:style>
  <w:style w:type="paragraph" w:customStyle="1" w:styleId="recomen">
    <w:name w:val="recomen"/>
    <w:basedOn w:val="texto"/>
    <w:rsid w:val="001D4F09"/>
    <w:pPr>
      <w:numPr>
        <w:numId w:val="2"/>
      </w:numPr>
      <w:tabs>
        <w:tab w:val="clear" w:pos="2835"/>
        <w:tab w:val="clear" w:pos="3969"/>
        <w:tab w:val="clear" w:pos="5103"/>
        <w:tab w:val="clear" w:pos="6237"/>
        <w:tab w:val="clear" w:pos="7371"/>
      </w:tabs>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rsid w:val="00882BEB"/>
    <w:rPr>
      <w:rFonts w:ascii="Arial" w:hAnsi="Arial"/>
      <w:bCs/>
      <w:iCs/>
      <w:color w:val="000000"/>
      <w:spacing w:val="10"/>
      <w:kern w:val="28"/>
      <w:sz w:val="25"/>
      <w:szCs w:val="26"/>
      <w:lang w:val="es-ES_tradnl" w:eastAsia="en-US" w:bidi="ar-SA"/>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FA7886"/>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8C27C2"/>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Epgrafe">
    <w:name w:val="caption"/>
    <w:basedOn w:val="Normal"/>
    <w:next w:val="Normal"/>
    <w:uiPriority w:val="99"/>
    <w:qFormat/>
    <w:rsid w:val="00891D73"/>
    <w:rPr>
      <w:b/>
      <w:bCs/>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customStyle="1" w:styleId="Estndar">
    <w:name w:val="Estándar"/>
    <w:rsid w:val="00882BEB"/>
    <w:pPr>
      <w:snapToGrid w:val="0"/>
    </w:pPr>
    <w:rPr>
      <w:rFonts w:ascii="CG Omega" w:hAnsi="CG Omega"/>
      <w:color w:val="000000"/>
      <w:sz w:val="22"/>
    </w:rPr>
  </w:style>
  <w:style w:type="paragraph" w:customStyle="1" w:styleId="tabla10">
    <w:name w:val="tabla10"/>
    <w:rsid w:val="00882BEB"/>
    <w:pPr>
      <w:tabs>
        <w:tab w:val="left" w:pos="567"/>
        <w:tab w:val="left" w:pos="1134"/>
      </w:tabs>
      <w:snapToGrid w:val="0"/>
    </w:pPr>
    <w:rPr>
      <w:rFonts w:ascii="CG Times" w:hAnsi="CG Times"/>
      <w:color w:val="000000"/>
    </w:rPr>
  </w:style>
  <w:style w:type="paragraph" w:styleId="NormalWeb">
    <w:name w:val="Normal (Web)"/>
    <w:basedOn w:val="Normal"/>
    <w:uiPriority w:val="99"/>
    <w:rsid w:val="00882B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semiHidden/>
    <w:rsid w:val="00882BEB"/>
  </w:style>
  <w:style w:type="character" w:customStyle="1" w:styleId="TextocomentarioCar">
    <w:name w:val="Texto comentario Car"/>
    <w:link w:val="Textocomentario"/>
    <w:semiHidden/>
    <w:rsid w:val="00882BEB"/>
    <w:rPr>
      <w:lang w:val="es-ES_tradnl" w:eastAsia="en-US" w:bidi="ar-SA"/>
    </w:rPr>
  </w:style>
  <w:style w:type="paragraph" w:styleId="Asuntodelcomentario">
    <w:name w:val="annotation subject"/>
    <w:basedOn w:val="Textocomentario"/>
    <w:next w:val="Textocomentario"/>
    <w:semiHidden/>
    <w:rsid w:val="00882BEB"/>
    <w:rPr>
      <w:b/>
      <w:bCs/>
    </w:rPr>
  </w:style>
  <w:style w:type="paragraph" w:styleId="Mapadeldocumento">
    <w:name w:val="Document Map"/>
    <w:basedOn w:val="Normal"/>
    <w:semiHidden/>
    <w:rsid w:val="00882BEB"/>
    <w:pPr>
      <w:shd w:val="clear" w:color="auto" w:fill="000080"/>
    </w:pPr>
    <w:rPr>
      <w:rFonts w:ascii="Tahoma" w:hAnsi="Tahoma" w:cs="Tahoma"/>
    </w:rPr>
  </w:style>
  <w:style w:type="paragraph" w:styleId="Textonotapie">
    <w:name w:val="footnote text"/>
    <w:basedOn w:val="Normal"/>
    <w:link w:val="TextonotapieCar"/>
    <w:rsid w:val="00882BEB"/>
  </w:style>
  <w:style w:type="character" w:customStyle="1" w:styleId="TextonotapieCar">
    <w:name w:val="Texto nota pie Car"/>
    <w:link w:val="Textonotapie"/>
    <w:rsid w:val="00882BEB"/>
    <w:rPr>
      <w:lang w:val="es-ES_tradnl" w:eastAsia="en-US" w:bidi="ar-SA"/>
    </w:rPr>
  </w:style>
  <w:style w:type="character" w:styleId="Refdenotaalpie">
    <w:name w:val="footnote reference"/>
    <w:rsid w:val="00882BEB"/>
    <w:rPr>
      <w:vertAlign w:val="superscript"/>
    </w:rPr>
  </w:style>
  <w:style w:type="paragraph" w:styleId="Prrafodelista">
    <w:name w:val="List Paragraph"/>
    <w:basedOn w:val="Normal"/>
    <w:uiPriority w:val="34"/>
    <w:qFormat/>
    <w:rsid w:val="002E399F"/>
    <w:pPr>
      <w:ind w:left="720"/>
      <w:contextualSpacing/>
    </w:pPr>
  </w:style>
  <w:style w:type="character" w:customStyle="1" w:styleId="PiedepginaCar">
    <w:name w:val="Pie de página Car"/>
    <w:basedOn w:val="Fuentedeprrafopredeter"/>
    <w:link w:val="Piedepgina"/>
    <w:uiPriority w:val="99"/>
    <w:rsid w:val="00667D3D"/>
    <w:rPr>
      <w:spacing w:val="6"/>
      <w:lang w:val="es-ES_tradnl" w:eastAsia="en-US"/>
    </w:rPr>
  </w:style>
  <w:style w:type="character" w:customStyle="1" w:styleId="atitulo1Car">
    <w:name w:val="atitulo1 Car"/>
    <w:link w:val="atitulo1"/>
    <w:rsid w:val="0066012B"/>
    <w:rPr>
      <w:rFonts w:ascii="Arial" w:hAnsi="Arial"/>
      <w:b/>
      <w:color w:val="000000"/>
      <w:kern w:val="28"/>
      <w:sz w:val="25"/>
      <w:szCs w:val="26"/>
      <w:lang w:val="es-ES_tradnl" w:eastAsia="en-US"/>
    </w:rPr>
  </w:style>
  <w:style w:type="paragraph" w:customStyle="1" w:styleId="Default">
    <w:name w:val="Default"/>
    <w:rsid w:val="006C2717"/>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6C2717"/>
    <w:rPr>
      <w:color w:val="auto"/>
    </w:rPr>
  </w:style>
  <w:style w:type="paragraph" w:styleId="Textoindependiente">
    <w:name w:val="Body Text"/>
    <w:basedOn w:val="Normal"/>
    <w:link w:val="TextoindependienteCar"/>
    <w:rsid w:val="00794AA5"/>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794AA5"/>
    <w:rPr>
      <w:rFonts w:ascii="Arial" w:hAnsi="Arial"/>
      <w:sz w:val="24"/>
      <w:lang w:val="es-ES_tradnl"/>
    </w:rPr>
  </w:style>
  <w:style w:type="paragraph" w:customStyle="1" w:styleId="Pa7">
    <w:name w:val="Pa7"/>
    <w:basedOn w:val="Default"/>
    <w:next w:val="Default"/>
    <w:uiPriority w:val="99"/>
    <w:rsid w:val="00B82623"/>
    <w:pPr>
      <w:spacing w:line="201" w:lineRule="atLeast"/>
    </w:pPr>
    <w:rPr>
      <w:color w:val="auto"/>
    </w:rPr>
  </w:style>
  <w:style w:type="character" w:customStyle="1" w:styleId="corchete-llamada1">
    <w:name w:val="corchete-llamada1"/>
    <w:basedOn w:val="Fuentedeprrafopredeter"/>
    <w:rsid w:val="00974DD3"/>
    <w:rPr>
      <w:vanish/>
      <w:webHidden w:val="0"/>
      <w:specVanish w:val="0"/>
    </w:rPr>
  </w:style>
  <w:style w:type="paragraph" w:customStyle="1" w:styleId="xl1">
    <w:name w:val="xl1"/>
    <w:basedOn w:val="Normal"/>
    <w:rsid w:val="00870FA1"/>
    <w:pPr>
      <w:spacing w:after="240"/>
      <w:ind w:left="300" w:right="75" w:hanging="225"/>
    </w:pPr>
    <w:rPr>
      <w:sz w:val="24"/>
      <w:szCs w:val="24"/>
      <w:lang w:val="es-ES" w:eastAsia="es-ES"/>
    </w:rPr>
  </w:style>
  <w:style w:type="paragraph" w:customStyle="1" w:styleId="xl2">
    <w:name w:val="xl2"/>
    <w:basedOn w:val="Normal"/>
    <w:rsid w:val="00E2009D"/>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FC2CA4"/>
  </w:style>
  <w:style w:type="table" w:styleId="Sombreadoclaro">
    <w:name w:val="Light Shading"/>
    <w:aliases w:val="tabla informe"/>
    <w:basedOn w:val="Tablanormal"/>
    <w:uiPriority w:val="60"/>
    <w:rsid w:val="00FC2CA4"/>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9197CF" w:themeFill="text2" w:themeFillTint="66"/>
      </w:tcPr>
    </w:tblStylePr>
    <w:tblStylePr w:type="lastRow">
      <w:pPr>
        <w:spacing w:before="0" w:after="0" w:line="240" w:lineRule="auto"/>
        <w:jc w:val="right"/>
      </w:pPr>
      <w:rPr>
        <w:rFonts w:ascii="Arial" w:hAnsi="Arial"/>
        <w:b w:val="0"/>
        <w:bCs/>
        <w:sz w:val="18"/>
      </w:rPr>
      <w:tblPr/>
      <w:tcPr>
        <w:shd w:val="clear" w:color="auto" w:fill="9197CF"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FC2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FC2CA4"/>
    <w:rPr>
      <w:rFonts w:ascii="Tahoma" w:hAnsi="Tahoma" w:cs="Tahoma"/>
      <w:sz w:val="16"/>
      <w:szCs w:val="16"/>
      <w:lang w:val="es-ES_tradnl" w:eastAsia="en-US"/>
    </w:rPr>
  </w:style>
  <w:style w:type="character" w:customStyle="1" w:styleId="Ttulo4Car">
    <w:name w:val="Título 4 Car"/>
    <w:basedOn w:val="Fuentedeprrafopredeter"/>
    <w:link w:val="Ttulo4"/>
    <w:uiPriority w:val="99"/>
    <w:rsid w:val="006535AB"/>
    <w:rPr>
      <w:b/>
      <w:bCs/>
      <w:sz w:val="28"/>
      <w:szCs w:val="28"/>
      <w:lang w:val="es-ES_tradnl" w:eastAsia="en-US"/>
    </w:rPr>
  </w:style>
  <w:style w:type="character" w:customStyle="1" w:styleId="Ttulo7Car">
    <w:name w:val="Título 7 Car"/>
    <w:basedOn w:val="Fuentedeprrafopredeter"/>
    <w:link w:val="Ttulo7"/>
    <w:uiPriority w:val="99"/>
    <w:rsid w:val="006535AB"/>
    <w:rPr>
      <w:sz w:val="52"/>
    </w:rPr>
  </w:style>
  <w:style w:type="character" w:customStyle="1" w:styleId="Ttulo1Car">
    <w:name w:val="Título 1 Car"/>
    <w:basedOn w:val="Fuentedeprrafopredeter"/>
    <w:link w:val="Ttulo1"/>
    <w:uiPriority w:val="99"/>
    <w:rsid w:val="006535A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6535A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6535AB"/>
    <w:rPr>
      <w:rFonts w:ascii="Arial" w:hAnsi="Arial" w:cs="Arial"/>
      <w:b/>
      <w:bCs/>
      <w:szCs w:val="26"/>
      <w:lang w:val="es-ES_tradnl" w:eastAsia="en-US"/>
    </w:rPr>
  </w:style>
  <w:style w:type="character" w:customStyle="1" w:styleId="Ttulo5Car">
    <w:name w:val="Título 5 Car"/>
    <w:basedOn w:val="Fuentedeprrafopredeter"/>
    <w:link w:val="Ttulo5"/>
    <w:uiPriority w:val="99"/>
    <w:rsid w:val="006535AB"/>
    <w:rPr>
      <w:b/>
      <w:sz w:val="28"/>
      <w:lang w:eastAsia="en-US"/>
    </w:rPr>
  </w:style>
  <w:style w:type="paragraph" w:styleId="Ttulo">
    <w:name w:val="Title"/>
    <w:basedOn w:val="Normal"/>
    <w:next w:val="Normal"/>
    <w:link w:val="TtuloCar"/>
    <w:uiPriority w:val="10"/>
    <w:qFormat/>
    <w:rsid w:val="006535AB"/>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6535AB"/>
    <w:rPr>
      <w:rFonts w:asciiTheme="majorHAnsi" w:eastAsiaTheme="majorEastAsia" w:hAnsiTheme="majorHAnsi" w:cstheme="majorBidi"/>
      <w:color w:val="1B1D3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6535AB"/>
    <w:pPr>
      <w:numPr>
        <w:ilvl w:val="1"/>
      </w:numPr>
      <w:ind w:firstLine="567"/>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6535AB"/>
    <w:rPr>
      <w:rFonts w:asciiTheme="majorHAnsi" w:eastAsiaTheme="majorEastAsia" w:hAnsiTheme="majorHAnsi" w:cstheme="majorBidi"/>
      <w:i/>
      <w:iCs/>
      <w:color w:val="629DD1" w:themeColor="accent1"/>
      <w:spacing w:val="15"/>
      <w:sz w:val="24"/>
      <w:szCs w:val="24"/>
      <w:lang w:val="es-ES_tradnl" w:eastAsia="en-US"/>
    </w:rPr>
  </w:style>
  <w:style w:type="character" w:styleId="Textoennegrita">
    <w:name w:val="Strong"/>
    <w:basedOn w:val="Fuentedeprrafopredeter"/>
    <w:uiPriority w:val="22"/>
    <w:qFormat/>
    <w:rsid w:val="006535AB"/>
    <w:rPr>
      <w:rFonts w:cs="Times New Roman"/>
      <w:b/>
    </w:rPr>
  </w:style>
  <w:style w:type="character" w:styleId="nfasis">
    <w:name w:val="Emphasis"/>
    <w:basedOn w:val="Fuentedeprrafopredeter"/>
    <w:uiPriority w:val="99"/>
    <w:qFormat/>
    <w:rsid w:val="006535AB"/>
    <w:rPr>
      <w:rFonts w:cs="Times New Roman"/>
      <w:i/>
      <w:iCs/>
    </w:rPr>
  </w:style>
  <w:style w:type="paragraph" w:styleId="Cita">
    <w:name w:val="Quote"/>
    <w:basedOn w:val="Normal"/>
    <w:next w:val="Normal"/>
    <w:link w:val="CitaCar"/>
    <w:uiPriority w:val="29"/>
    <w:qFormat/>
    <w:rsid w:val="006535AB"/>
    <w:rPr>
      <w:i/>
      <w:iCs/>
      <w:color w:val="000000" w:themeColor="text1"/>
    </w:rPr>
  </w:style>
  <w:style w:type="character" w:customStyle="1" w:styleId="CitaCar">
    <w:name w:val="Cita Car"/>
    <w:basedOn w:val="Fuentedeprrafopredeter"/>
    <w:link w:val="Cita"/>
    <w:uiPriority w:val="29"/>
    <w:rsid w:val="006535AB"/>
    <w:rPr>
      <w:i/>
      <w:iCs/>
      <w:color w:val="000000" w:themeColor="text1"/>
      <w:lang w:val="es-ES_tradnl" w:eastAsia="en-US"/>
    </w:rPr>
  </w:style>
  <w:style w:type="character" w:styleId="nfasissutil">
    <w:name w:val="Subtle Emphasis"/>
    <w:basedOn w:val="Fuentedeprrafopredeter"/>
    <w:uiPriority w:val="19"/>
    <w:qFormat/>
    <w:rsid w:val="006535AB"/>
    <w:rPr>
      <w:i/>
      <w:iCs/>
      <w:color w:val="808080" w:themeColor="text1" w:themeTint="7F"/>
    </w:rPr>
  </w:style>
  <w:style w:type="character" w:styleId="nfasisintenso">
    <w:name w:val="Intense Emphasis"/>
    <w:basedOn w:val="Fuentedeprrafopredeter"/>
    <w:uiPriority w:val="21"/>
    <w:qFormat/>
    <w:rsid w:val="006535AB"/>
    <w:rPr>
      <w:b/>
      <w:bCs/>
      <w:i/>
      <w:iCs/>
      <w:color w:val="629DD1" w:themeColor="accent1"/>
    </w:rPr>
  </w:style>
  <w:style w:type="character" w:styleId="Referenciasutil">
    <w:name w:val="Subtle Reference"/>
    <w:basedOn w:val="Fuentedeprrafopredeter"/>
    <w:uiPriority w:val="31"/>
    <w:qFormat/>
    <w:rsid w:val="006535AB"/>
    <w:rPr>
      <w:smallCaps/>
      <w:color w:val="297FD5" w:themeColor="accent2"/>
      <w:u w:val="single"/>
    </w:rPr>
  </w:style>
  <w:style w:type="character" w:styleId="Referenciaintensa">
    <w:name w:val="Intense Reference"/>
    <w:basedOn w:val="Fuentedeprrafopredeter"/>
    <w:uiPriority w:val="32"/>
    <w:qFormat/>
    <w:rsid w:val="006535AB"/>
    <w:rPr>
      <w:b/>
      <w:bCs/>
      <w:smallCaps/>
      <w:color w:val="297FD5" w:themeColor="accent2"/>
      <w:spacing w:val="5"/>
      <w:u w:val="single"/>
    </w:rPr>
  </w:style>
  <w:style w:type="character" w:customStyle="1" w:styleId="EncabezadoCar">
    <w:name w:val="Encabezado Car"/>
    <w:basedOn w:val="Fuentedeprrafopredeter"/>
    <w:link w:val="Encabezado"/>
    <w:rsid w:val="00074ECC"/>
    <w:rPr>
      <w:bCs/>
      <w:caps/>
      <w:sz w:val="14"/>
      <w:szCs w:val="12"/>
      <w:lang w:val="es-ES_tradnl" w:eastAsia="en-US"/>
    </w:rPr>
  </w:style>
  <w:style w:type="paragraph" w:styleId="Textoindependiente3">
    <w:name w:val="Body Text 3"/>
    <w:basedOn w:val="Normal"/>
    <w:link w:val="Textoindependiente3Car"/>
    <w:rsid w:val="00FB0A5A"/>
    <w:pPr>
      <w:spacing w:after="120"/>
    </w:pPr>
    <w:rPr>
      <w:sz w:val="16"/>
      <w:szCs w:val="16"/>
    </w:rPr>
  </w:style>
  <w:style w:type="character" w:customStyle="1" w:styleId="Textoindependiente3Car">
    <w:name w:val="Texto independiente 3 Car"/>
    <w:basedOn w:val="Fuentedeprrafopredeter"/>
    <w:link w:val="Textoindependiente3"/>
    <w:rsid w:val="00FB0A5A"/>
    <w:rPr>
      <w:sz w:val="16"/>
      <w:szCs w:val="16"/>
      <w:lang w:val="es-ES_tradnl" w:eastAsia="en-US"/>
    </w:rPr>
  </w:style>
  <w:style w:type="paragraph" w:styleId="Textosinformato">
    <w:name w:val="Plain Text"/>
    <w:basedOn w:val="Normal"/>
    <w:link w:val="TextosinformatoCar"/>
    <w:uiPriority w:val="99"/>
    <w:unhideWhenUsed/>
    <w:rsid w:val="00133BB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133BB9"/>
    <w:rPr>
      <w:rFonts w:ascii="Calibri" w:eastAsiaTheme="minorHAnsi" w:hAnsi="Calibri" w:cstheme="minorBidi"/>
      <w:sz w:val="22"/>
      <w:szCs w:val="21"/>
      <w:lang w:eastAsia="en-US"/>
    </w:rPr>
  </w:style>
  <w:style w:type="paragraph" w:customStyle="1" w:styleId="cuatitul">
    <w:name w:val="cuatitul"/>
    <w:basedOn w:val="Normal"/>
    <w:rsid w:val="00497839"/>
    <w:pPr>
      <w:spacing w:after="60"/>
      <w:ind w:firstLine="0"/>
      <w:jc w:val="center"/>
    </w:pPr>
    <w:rPr>
      <w:rFonts w:ascii="GillSans" w:hAnsi="GillSans"/>
      <w:sz w:val="22"/>
      <w:lang w:eastAsia="es-ES"/>
    </w:rPr>
  </w:style>
  <w:style w:type="paragraph" w:customStyle="1" w:styleId="Tabla">
    <w:name w:val="Tabla"/>
    <w:basedOn w:val="Normal"/>
    <w:rsid w:val="00497839"/>
    <w:pPr>
      <w:spacing w:after="0"/>
      <w:ind w:firstLine="0"/>
    </w:pPr>
    <w:rPr>
      <w:rFonts w:ascii="Arial" w:hAnsi="Arial"/>
      <w:sz w:val="16"/>
      <w:lang w:eastAsia="es-ES"/>
    </w:rPr>
  </w:style>
  <w:style w:type="character" w:customStyle="1" w:styleId="atitulo3Car">
    <w:name w:val="atitulo3 Car"/>
    <w:link w:val="atitulo3"/>
    <w:rsid w:val="004C3AFE"/>
    <w:rPr>
      <w:rFonts w:ascii="Arial" w:hAnsi="Arial"/>
      <w:i/>
      <w:iCs/>
      <w:color w:val="000000"/>
      <w:spacing w:val="10"/>
      <w:kern w:val="28"/>
      <w:sz w:val="25"/>
      <w:szCs w:val="26"/>
      <w:lang w:val="es-ES_tradnl" w:eastAsia="en-US"/>
    </w:rPr>
  </w:style>
  <w:style w:type="table" w:customStyle="1" w:styleId="Tablaconcuadrcula2">
    <w:name w:val="Tabla con cuadrícula2"/>
    <w:basedOn w:val="Tablanormal"/>
    <w:next w:val="Tablaconcuadrcula"/>
    <w:uiPriority w:val="59"/>
    <w:rsid w:val="00963DE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C42403"/>
    <w:pPr>
      <w:spacing w:after="240"/>
      <w:ind w:left="300" w:right="75" w:firstLine="0"/>
    </w:pPr>
    <w:rPr>
      <w:sz w:val="24"/>
      <w:szCs w:val="24"/>
      <w:lang w:val="es-ES" w:eastAsia="es-ES"/>
    </w:rPr>
  </w:style>
  <w:style w:type="character" w:customStyle="1" w:styleId="st1">
    <w:name w:val="st1"/>
    <w:basedOn w:val="Fuentedeprrafopredeter"/>
    <w:rsid w:val="007A4B43"/>
  </w:style>
  <w:style w:type="character" w:customStyle="1" w:styleId="apple-converted-space">
    <w:name w:val="apple-converted-space"/>
    <w:basedOn w:val="Fuentedeprrafopredeter"/>
    <w:rsid w:val="008B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3">
      <w:bodyDiv w:val="1"/>
      <w:marLeft w:val="0"/>
      <w:marRight w:val="0"/>
      <w:marTop w:val="0"/>
      <w:marBottom w:val="0"/>
      <w:divBdr>
        <w:top w:val="none" w:sz="0" w:space="0" w:color="auto"/>
        <w:left w:val="none" w:sz="0" w:space="0" w:color="auto"/>
        <w:bottom w:val="none" w:sz="0" w:space="0" w:color="auto"/>
        <w:right w:val="none" w:sz="0" w:space="0" w:color="auto"/>
      </w:divBdr>
    </w:div>
    <w:div w:id="16735955">
      <w:bodyDiv w:val="1"/>
      <w:marLeft w:val="0"/>
      <w:marRight w:val="0"/>
      <w:marTop w:val="0"/>
      <w:marBottom w:val="0"/>
      <w:divBdr>
        <w:top w:val="none" w:sz="0" w:space="0" w:color="auto"/>
        <w:left w:val="none" w:sz="0" w:space="0" w:color="auto"/>
        <w:bottom w:val="none" w:sz="0" w:space="0" w:color="auto"/>
        <w:right w:val="none" w:sz="0" w:space="0" w:color="auto"/>
      </w:divBdr>
    </w:div>
    <w:div w:id="17124647">
      <w:bodyDiv w:val="1"/>
      <w:marLeft w:val="0"/>
      <w:marRight w:val="0"/>
      <w:marTop w:val="0"/>
      <w:marBottom w:val="0"/>
      <w:divBdr>
        <w:top w:val="none" w:sz="0" w:space="0" w:color="auto"/>
        <w:left w:val="none" w:sz="0" w:space="0" w:color="auto"/>
        <w:bottom w:val="none" w:sz="0" w:space="0" w:color="auto"/>
        <w:right w:val="none" w:sz="0" w:space="0" w:color="auto"/>
      </w:divBdr>
    </w:div>
    <w:div w:id="47460152">
      <w:bodyDiv w:val="1"/>
      <w:marLeft w:val="0"/>
      <w:marRight w:val="0"/>
      <w:marTop w:val="0"/>
      <w:marBottom w:val="0"/>
      <w:divBdr>
        <w:top w:val="none" w:sz="0" w:space="0" w:color="auto"/>
        <w:left w:val="none" w:sz="0" w:space="0" w:color="auto"/>
        <w:bottom w:val="none" w:sz="0" w:space="0" w:color="auto"/>
        <w:right w:val="none" w:sz="0" w:space="0" w:color="auto"/>
      </w:divBdr>
    </w:div>
    <w:div w:id="50621157">
      <w:bodyDiv w:val="1"/>
      <w:marLeft w:val="0"/>
      <w:marRight w:val="0"/>
      <w:marTop w:val="0"/>
      <w:marBottom w:val="0"/>
      <w:divBdr>
        <w:top w:val="none" w:sz="0" w:space="0" w:color="auto"/>
        <w:left w:val="none" w:sz="0" w:space="0" w:color="auto"/>
        <w:bottom w:val="none" w:sz="0" w:space="0" w:color="auto"/>
        <w:right w:val="none" w:sz="0" w:space="0" w:color="auto"/>
      </w:divBdr>
    </w:div>
    <w:div w:id="56435535">
      <w:bodyDiv w:val="1"/>
      <w:marLeft w:val="0"/>
      <w:marRight w:val="0"/>
      <w:marTop w:val="0"/>
      <w:marBottom w:val="0"/>
      <w:divBdr>
        <w:top w:val="none" w:sz="0" w:space="0" w:color="auto"/>
        <w:left w:val="none" w:sz="0" w:space="0" w:color="auto"/>
        <w:bottom w:val="none" w:sz="0" w:space="0" w:color="auto"/>
        <w:right w:val="none" w:sz="0" w:space="0" w:color="auto"/>
      </w:divBdr>
    </w:div>
    <w:div w:id="78065607">
      <w:bodyDiv w:val="1"/>
      <w:marLeft w:val="0"/>
      <w:marRight w:val="0"/>
      <w:marTop w:val="0"/>
      <w:marBottom w:val="0"/>
      <w:divBdr>
        <w:top w:val="none" w:sz="0" w:space="0" w:color="auto"/>
        <w:left w:val="none" w:sz="0" w:space="0" w:color="auto"/>
        <w:bottom w:val="none" w:sz="0" w:space="0" w:color="auto"/>
        <w:right w:val="none" w:sz="0" w:space="0" w:color="auto"/>
      </w:divBdr>
    </w:div>
    <w:div w:id="78870331">
      <w:bodyDiv w:val="1"/>
      <w:marLeft w:val="0"/>
      <w:marRight w:val="0"/>
      <w:marTop w:val="0"/>
      <w:marBottom w:val="0"/>
      <w:divBdr>
        <w:top w:val="none" w:sz="0" w:space="0" w:color="auto"/>
        <w:left w:val="none" w:sz="0" w:space="0" w:color="auto"/>
        <w:bottom w:val="none" w:sz="0" w:space="0" w:color="auto"/>
        <w:right w:val="none" w:sz="0" w:space="0" w:color="auto"/>
      </w:divBdr>
    </w:div>
    <w:div w:id="81337087">
      <w:bodyDiv w:val="1"/>
      <w:marLeft w:val="0"/>
      <w:marRight w:val="0"/>
      <w:marTop w:val="0"/>
      <w:marBottom w:val="0"/>
      <w:divBdr>
        <w:top w:val="none" w:sz="0" w:space="0" w:color="auto"/>
        <w:left w:val="none" w:sz="0" w:space="0" w:color="auto"/>
        <w:bottom w:val="none" w:sz="0" w:space="0" w:color="auto"/>
        <w:right w:val="none" w:sz="0" w:space="0" w:color="auto"/>
      </w:divBdr>
    </w:div>
    <w:div w:id="81921736">
      <w:bodyDiv w:val="1"/>
      <w:marLeft w:val="0"/>
      <w:marRight w:val="0"/>
      <w:marTop w:val="0"/>
      <w:marBottom w:val="0"/>
      <w:divBdr>
        <w:top w:val="none" w:sz="0" w:space="0" w:color="auto"/>
        <w:left w:val="none" w:sz="0" w:space="0" w:color="auto"/>
        <w:bottom w:val="none" w:sz="0" w:space="0" w:color="auto"/>
        <w:right w:val="none" w:sz="0" w:space="0" w:color="auto"/>
      </w:divBdr>
    </w:div>
    <w:div w:id="93020105">
      <w:bodyDiv w:val="1"/>
      <w:marLeft w:val="0"/>
      <w:marRight w:val="0"/>
      <w:marTop w:val="0"/>
      <w:marBottom w:val="0"/>
      <w:divBdr>
        <w:top w:val="none" w:sz="0" w:space="0" w:color="auto"/>
        <w:left w:val="none" w:sz="0" w:space="0" w:color="auto"/>
        <w:bottom w:val="none" w:sz="0" w:space="0" w:color="auto"/>
        <w:right w:val="none" w:sz="0" w:space="0" w:color="auto"/>
      </w:divBdr>
    </w:div>
    <w:div w:id="100532505">
      <w:bodyDiv w:val="1"/>
      <w:marLeft w:val="0"/>
      <w:marRight w:val="0"/>
      <w:marTop w:val="0"/>
      <w:marBottom w:val="0"/>
      <w:divBdr>
        <w:top w:val="none" w:sz="0" w:space="0" w:color="auto"/>
        <w:left w:val="none" w:sz="0" w:space="0" w:color="auto"/>
        <w:bottom w:val="none" w:sz="0" w:space="0" w:color="auto"/>
        <w:right w:val="none" w:sz="0" w:space="0" w:color="auto"/>
      </w:divBdr>
    </w:div>
    <w:div w:id="108664643">
      <w:bodyDiv w:val="1"/>
      <w:marLeft w:val="0"/>
      <w:marRight w:val="0"/>
      <w:marTop w:val="0"/>
      <w:marBottom w:val="0"/>
      <w:divBdr>
        <w:top w:val="none" w:sz="0" w:space="0" w:color="auto"/>
        <w:left w:val="none" w:sz="0" w:space="0" w:color="auto"/>
        <w:bottom w:val="none" w:sz="0" w:space="0" w:color="auto"/>
        <w:right w:val="none" w:sz="0" w:space="0" w:color="auto"/>
      </w:divBdr>
      <w:divsChild>
        <w:div w:id="1847210755">
          <w:marLeft w:val="0"/>
          <w:marRight w:val="0"/>
          <w:marTop w:val="0"/>
          <w:marBottom w:val="240"/>
          <w:divBdr>
            <w:top w:val="none" w:sz="0" w:space="0" w:color="auto"/>
            <w:left w:val="none" w:sz="0" w:space="0" w:color="auto"/>
            <w:bottom w:val="none" w:sz="0" w:space="0" w:color="auto"/>
            <w:right w:val="none" w:sz="0" w:space="0" w:color="auto"/>
          </w:divBdr>
        </w:div>
      </w:divsChild>
    </w:div>
    <w:div w:id="109905202">
      <w:bodyDiv w:val="1"/>
      <w:marLeft w:val="0"/>
      <w:marRight w:val="0"/>
      <w:marTop w:val="0"/>
      <w:marBottom w:val="0"/>
      <w:divBdr>
        <w:top w:val="none" w:sz="0" w:space="0" w:color="auto"/>
        <w:left w:val="none" w:sz="0" w:space="0" w:color="auto"/>
        <w:bottom w:val="none" w:sz="0" w:space="0" w:color="auto"/>
        <w:right w:val="none" w:sz="0" w:space="0" w:color="auto"/>
      </w:divBdr>
    </w:div>
    <w:div w:id="110562846">
      <w:bodyDiv w:val="1"/>
      <w:marLeft w:val="0"/>
      <w:marRight w:val="0"/>
      <w:marTop w:val="0"/>
      <w:marBottom w:val="0"/>
      <w:divBdr>
        <w:top w:val="none" w:sz="0" w:space="0" w:color="auto"/>
        <w:left w:val="none" w:sz="0" w:space="0" w:color="auto"/>
        <w:bottom w:val="none" w:sz="0" w:space="0" w:color="auto"/>
        <w:right w:val="none" w:sz="0" w:space="0" w:color="auto"/>
      </w:divBdr>
    </w:div>
    <w:div w:id="115637371">
      <w:bodyDiv w:val="1"/>
      <w:marLeft w:val="0"/>
      <w:marRight w:val="0"/>
      <w:marTop w:val="0"/>
      <w:marBottom w:val="0"/>
      <w:divBdr>
        <w:top w:val="none" w:sz="0" w:space="0" w:color="auto"/>
        <w:left w:val="none" w:sz="0" w:space="0" w:color="auto"/>
        <w:bottom w:val="none" w:sz="0" w:space="0" w:color="auto"/>
        <w:right w:val="none" w:sz="0" w:space="0" w:color="auto"/>
      </w:divBdr>
    </w:div>
    <w:div w:id="116485916">
      <w:bodyDiv w:val="1"/>
      <w:marLeft w:val="0"/>
      <w:marRight w:val="0"/>
      <w:marTop w:val="0"/>
      <w:marBottom w:val="0"/>
      <w:divBdr>
        <w:top w:val="none" w:sz="0" w:space="0" w:color="auto"/>
        <w:left w:val="none" w:sz="0" w:space="0" w:color="auto"/>
        <w:bottom w:val="none" w:sz="0" w:space="0" w:color="auto"/>
        <w:right w:val="none" w:sz="0" w:space="0" w:color="auto"/>
      </w:divBdr>
    </w:div>
    <w:div w:id="122503576">
      <w:bodyDiv w:val="1"/>
      <w:marLeft w:val="0"/>
      <w:marRight w:val="0"/>
      <w:marTop w:val="0"/>
      <w:marBottom w:val="0"/>
      <w:divBdr>
        <w:top w:val="none" w:sz="0" w:space="0" w:color="auto"/>
        <w:left w:val="none" w:sz="0" w:space="0" w:color="auto"/>
        <w:bottom w:val="none" w:sz="0" w:space="0" w:color="auto"/>
        <w:right w:val="none" w:sz="0" w:space="0" w:color="auto"/>
      </w:divBdr>
    </w:div>
    <w:div w:id="146242524">
      <w:bodyDiv w:val="1"/>
      <w:marLeft w:val="0"/>
      <w:marRight w:val="0"/>
      <w:marTop w:val="0"/>
      <w:marBottom w:val="0"/>
      <w:divBdr>
        <w:top w:val="none" w:sz="0" w:space="0" w:color="auto"/>
        <w:left w:val="none" w:sz="0" w:space="0" w:color="auto"/>
        <w:bottom w:val="none" w:sz="0" w:space="0" w:color="auto"/>
        <w:right w:val="none" w:sz="0" w:space="0" w:color="auto"/>
      </w:divBdr>
    </w:div>
    <w:div w:id="149946855">
      <w:bodyDiv w:val="1"/>
      <w:marLeft w:val="0"/>
      <w:marRight w:val="0"/>
      <w:marTop w:val="0"/>
      <w:marBottom w:val="0"/>
      <w:divBdr>
        <w:top w:val="none" w:sz="0" w:space="0" w:color="auto"/>
        <w:left w:val="none" w:sz="0" w:space="0" w:color="auto"/>
        <w:bottom w:val="none" w:sz="0" w:space="0" w:color="auto"/>
        <w:right w:val="none" w:sz="0" w:space="0" w:color="auto"/>
      </w:divBdr>
    </w:div>
    <w:div w:id="169026708">
      <w:bodyDiv w:val="1"/>
      <w:marLeft w:val="0"/>
      <w:marRight w:val="0"/>
      <w:marTop w:val="0"/>
      <w:marBottom w:val="0"/>
      <w:divBdr>
        <w:top w:val="none" w:sz="0" w:space="0" w:color="auto"/>
        <w:left w:val="none" w:sz="0" w:space="0" w:color="auto"/>
        <w:bottom w:val="none" w:sz="0" w:space="0" w:color="auto"/>
        <w:right w:val="none" w:sz="0" w:space="0" w:color="auto"/>
      </w:divBdr>
    </w:div>
    <w:div w:id="169175257">
      <w:bodyDiv w:val="1"/>
      <w:marLeft w:val="0"/>
      <w:marRight w:val="0"/>
      <w:marTop w:val="0"/>
      <w:marBottom w:val="0"/>
      <w:divBdr>
        <w:top w:val="none" w:sz="0" w:space="0" w:color="auto"/>
        <w:left w:val="none" w:sz="0" w:space="0" w:color="auto"/>
        <w:bottom w:val="none" w:sz="0" w:space="0" w:color="auto"/>
        <w:right w:val="none" w:sz="0" w:space="0" w:color="auto"/>
      </w:divBdr>
    </w:div>
    <w:div w:id="175778368">
      <w:bodyDiv w:val="1"/>
      <w:marLeft w:val="0"/>
      <w:marRight w:val="0"/>
      <w:marTop w:val="0"/>
      <w:marBottom w:val="0"/>
      <w:divBdr>
        <w:top w:val="none" w:sz="0" w:space="0" w:color="auto"/>
        <w:left w:val="none" w:sz="0" w:space="0" w:color="auto"/>
        <w:bottom w:val="none" w:sz="0" w:space="0" w:color="auto"/>
        <w:right w:val="none" w:sz="0" w:space="0" w:color="auto"/>
      </w:divBdr>
    </w:div>
    <w:div w:id="180320233">
      <w:bodyDiv w:val="1"/>
      <w:marLeft w:val="0"/>
      <w:marRight w:val="0"/>
      <w:marTop w:val="0"/>
      <w:marBottom w:val="0"/>
      <w:divBdr>
        <w:top w:val="none" w:sz="0" w:space="0" w:color="auto"/>
        <w:left w:val="none" w:sz="0" w:space="0" w:color="auto"/>
        <w:bottom w:val="none" w:sz="0" w:space="0" w:color="auto"/>
        <w:right w:val="none" w:sz="0" w:space="0" w:color="auto"/>
      </w:divBdr>
    </w:div>
    <w:div w:id="190148387">
      <w:bodyDiv w:val="1"/>
      <w:marLeft w:val="0"/>
      <w:marRight w:val="0"/>
      <w:marTop w:val="0"/>
      <w:marBottom w:val="0"/>
      <w:divBdr>
        <w:top w:val="none" w:sz="0" w:space="0" w:color="auto"/>
        <w:left w:val="none" w:sz="0" w:space="0" w:color="auto"/>
        <w:bottom w:val="none" w:sz="0" w:space="0" w:color="auto"/>
        <w:right w:val="none" w:sz="0" w:space="0" w:color="auto"/>
      </w:divBdr>
    </w:div>
    <w:div w:id="190606820">
      <w:bodyDiv w:val="1"/>
      <w:marLeft w:val="0"/>
      <w:marRight w:val="0"/>
      <w:marTop w:val="0"/>
      <w:marBottom w:val="0"/>
      <w:divBdr>
        <w:top w:val="none" w:sz="0" w:space="0" w:color="auto"/>
        <w:left w:val="none" w:sz="0" w:space="0" w:color="auto"/>
        <w:bottom w:val="none" w:sz="0" w:space="0" w:color="auto"/>
        <w:right w:val="none" w:sz="0" w:space="0" w:color="auto"/>
      </w:divBdr>
    </w:div>
    <w:div w:id="192813352">
      <w:bodyDiv w:val="1"/>
      <w:marLeft w:val="0"/>
      <w:marRight w:val="0"/>
      <w:marTop w:val="0"/>
      <w:marBottom w:val="0"/>
      <w:divBdr>
        <w:top w:val="none" w:sz="0" w:space="0" w:color="auto"/>
        <w:left w:val="none" w:sz="0" w:space="0" w:color="auto"/>
        <w:bottom w:val="none" w:sz="0" w:space="0" w:color="auto"/>
        <w:right w:val="none" w:sz="0" w:space="0" w:color="auto"/>
      </w:divBdr>
    </w:div>
    <w:div w:id="208224849">
      <w:bodyDiv w:val="1"/>
      <w:marLeft w:val="0"/>
      <w:marRight w:val="0"/>
      <w:marTop w:val="0"/>
      <w:marBottom w:val="0"/>
      <w:divBdr>
        <w:top w:val="none" w:sz="0" w:space="0" w:color="auto"/>
        <w:left w:val="none" w:sz="0" w:space="0" w:color="auto"/>
        <w:bottom w:val="none" w:sz="0" w:space="0" w:color="auto"/>
        <w:right w:val="none" w:sz="0" w:space="0" w:color="auto"/>
      </w:divBdr>
    </w:div>
    <w:div w:id="221068436">
      <w:bodyDiv w:val="1"/>
      <w:marLeft w:val="0"/>
      <w:marRight w:val="0"/>
      <w:marTop w:val="0"/>
      <w:marBottom w:val="0"/>
      <w:divBdr>
        <w:top w:val="none" w:sz="0" w:space="0" w:color="auto"/>
        <w:left w:val="none" w:sz="0" w:space="0" w:color="auto"/>
        <w:bottom w:val="none" w:sz="0" w:space="0" w:color="auto"/>
        <w:right w:val="none" w:sz="0" w:space="0" w:color="auto"/>
      </w:divBdr>
    </w:div>
    <w:div w:id="223108067">
      <w:bodyDiv w:val="1"/>
      <w:marLeft w:val="0"/>
      <w:marRight w:val="0"/>
      <w:marTop w:val="0"/>
      <w:marBottom w:val="0"/>
      <w:divBdr>
        <w:top w:val="none" w:sz="0" w:space="0" w:color="auto"/>
        <w:left w:val="none" w:sz="0" w:space="0" w:color="auto"/>
        <w:bottom w:val="none" w:sz="0" w:space="0" w:color="auto"/>
        <w:right w:val="none" w:sz="0" w:space="0" w:color="auto"/>
      </w:divBdr>
    </w:div>
    <w:div w:id="223493576">
      <w:bodyDiv w:val="1"/>
      <w:marLeft w:val="0"/>
      <w:marRight w:val="0"/>
      <w:marTop w:val="0"/>
      <w:marBottom w:val="0"/>
      <w:divBdr>
        <w:top w:val="none" w:sz="0" w:space="0" w:color="auto"/>
        <w:left w:val="none" w:sz="0" w:space="0" w:color="auto"/>
        <w:bottom w:val="none" w:sz="0" w:space="0" w:color="auto"/>
        <w:right w:val="none" w:sz="0" w:space="0" w:color="auto"/>
      </w:divBdr>
    </w:div>
    <w:div w:id="229583841">
      <w:bodyDiv w:val="1"/>
      <w:marLeft w:val="0"/>
      <w:marRight w:val="0"/>
      <w:marTop w:val="0"/>
      <w:marBottom w:val="0"/>
      <w:divBdr>
        <w:top w:val="none" w:sz="0" w:space="0" w:color="auto"/>
        <w:left w:val="none" w:sz="0" w:space="0" w:color="auto"/>
        <w:bottom w:val="none" w:sz="0" w:space="0" w:color="auto"/>
        <w:right w:val="none" w:sz="0" w:space="0" w:color="auto"/>
      </w:divBdr>
    </w:div>
    <w:div w:id="247151910">
      <w:bodyDiv w:val="1"/>
      <w:marLeft w:val="0"/>
      <w:marRight w:val="0"/>
      <w:marTop w:val="0"/>
      <w:marBottom w:val="0"/>
      <w:divBdr>
        <w:top w:val="none" w:sz="0" w:space="0" w:color="auto"/>
        <w:left w:val="none" w:sz="0" w:space="0" w:color="auto"/>
        <w:bottom w:val="none" w:sz="0" w:space="0" w:color="auto"/>
        <w:right w:val="none" w:sz="0" w:space="0" w:color="auto"/>
      </w:divBdr>
    </w:div>
    <w:div w:id="254870220">
      <w:bodyDiv w:val="1"/>
      <w:marLeft w:val="0"/>
      <w:marRight w:val="0"/>
      <w:marTop w:val="0"/>
      <w:marBottom w:val="0"/>
      <w:divBdr>
        <w:top w:val="none" w:sz="0" w:space="0" w:color="auto"/>
        <w:left w:val="none" w:sz="0" w:space="0" w:color="auto"/>
        <w:bottom w:val="none" w:sz="0" w:space="0" w:color="auto"/>
        <w:right w:val="none" w:sz="0" w:space="0" w:color="auto"/>
      </w:divBdr>
    </w:div>
    <w:div w:id="265818071">
      <w:bodyDiv w:val="1"/>
      <w:marLeft w:val="0"/>
      <w:marRight w:val="0"/>
      <w:marTop w:val="0"/>
      <w:marBottom w:val="0"/>
      <w:divBdr>
        <w:top w:val="none" w:sz="0" w:space="0" w:color="auto"/>
        <w:left w:val="none" w:sz="0" w:space="0" w:color="auto"/>
        <w:bottom w:val="none" w:sz="0" w:space="0" w:color="auto"/>
        <w:right w:val="none" w:sz="0" w:space="0" w:color="auto"/>
      </w:divBdr>
    </w:div>
    <w:div w:id="266624709">
      <w:bodyDiv w:val="1"/>
      <w:marLeft w:val="0"/>
      <w:marRight w:val="0"/>
      <w:marTop w:val="0"/>
      <w:marBottom w:val="0"/>
      <w:divBdr>
        <w:top w:val="none" w:sz="0" w:space="0" w:color="auto"/>
        <w:left w:val="none" w:sz="0" w:space="0" w:color="auto"/>
        <w:bottom w:val="none" w:sz="0" w:space="0" w:color="auto"/>
        <w:right w:val="none" w:sz="0" w:space="0" w:color="auto"/>
      </w:divBdr>
    </w:div>
    <w:div w:id="269550468">
      <w:bodyDiv w:val="1"/>
      <w:marLeft w:val="0"/>
      <w:marRight w:val="0"/>
      <w:marTop w:val="0"/>
      <w:marBottom w:val="0"/>
      <w:divBdr>
        <w:top w:val="none" w:sz="0" w:space="0" w:color="auto"/>
        <w:left w:val="none" w:sz="0" w:space="0" w:color="auto"/>
        <w:bottom w:val="none" w:sz="0" w:space="0" w:color="auto"/>
        <w:right w:val="none" w:sz="0" w:space="0" w:color="auto"/>
      </w:divBdr>
    </w:div>
    <w:div w:id="277446001">
      <w:bodyDiv w:val="1"/>
      <w:marLeft w:val="0"/>
      <w:marRight w:val="0"/>
      <w:marTop w:val="0"/>
      <w:marBottom w:val="0"/>
      <w:divBdr>
        <w:top w:val="none" w:sz="0" w:space="0" w:color="auto"/>
        <w:left w:val="none" w:sz="0" w:space="0" w:color="auto"/>
        <w:bottom w:val="none" w:sz="0" w:space="0" w:color="auto"/>
        <w:right w:val="none" w:sz="0" w:space="0" w:color="auto"/>
      </w:divBdr>
    </w:div>
    <w:div w:id="296643833">
      <w:bodyDiv w:val="1"/>
      <w:marLeft w:val="0"/>
      <w:marRight w:val="0"/>
      <w:marTop w:val="0"/>
      <w:marBottom w:val="0"/>
      <w:divBdr>
        <w:top w:val="none" w:sz="0" w:space="0" w:color="auto"/>
        <w:left w:val="none" w:sz="0" w:space="0" w:color="auto"/>
        <w:bottom w:val="none" w:sz="0" w:space="0" w:color="auto"/>
        <w:right w:val="none" w:sz="0" w:space="0" w:color="auto"/>
      </w:divBdr>
    </w:div>
    <w:div w:id="297079566">
      <w:bodyDiv w:val="1"/>
      <w:marLeft w:val="0"/>
      <w:marRight w:val="0"/>
      <w:marTop w:val="0"/>
      <w:marBottom w:val="0"/>
      <w:divBdr>
        <w:top w:val="none" w:sz="0" w:space="0" w:color="auto"/>
        <w:left w:val="none" w:sz="0" w:space="0" w:color="auto"/>
        <w:bottom w:val="none" w:sz="0" w:space="0" w:color="auto"/>
        <w:right w:val="none" w:sz="0" w:space="0" w:color="auto"/>
      </w:divBdr>
    </w:div>
    <w:div w:id="299766699">
      <w:bodyDiv w:val="1"/>
      <w:marLeft w:val="0"/>
      <w:marRight w:val="0"/>
      <w:marTop w:val="0"/>
      <w:marBottom w:val="0"/>
      <w:divBdr>
        <w:top w:val="none" w:sz="0" w:space="0" w:color="auto"/>
        <w:left w:val="none" w:sz="0" w:space="0" w:color="auto"/>
        <w:bottom w:val="none" w:sz="0" w:space="0" w:color="auto"/>
        <w:right w:val="none" w:sz="0" w:space="0" w:color="auto"/>
      </w:divBdr>
    </w:div>
    <w:div w:id="303199653">
      <w:bodyDiv w:val="1"/>
      <w:marLeft w:val="0"/>
      <w:marRight w:val="0"/>
      <w:marTop w:val="0"/>
      <w:marBottom w:val="0"/>
      <w:divBdr>
        <w:top w:val="none" w:sz="0" w:space="0" w:color="auto"/>
        <w:left w:val="none" w:sz="0" w:space="0" w:color="auto"/>
        <w:bottom w:val="none" w:sz="0" w:space="0" w:color="auto"/>
        <w:right w:val="none" w:sz="0" w:space="0" w:color="auto"/>
      </w:divBdr>
    </w:div>
    <w:div w:id="305017673">
      <w:bodyDiv w:val="1"/>
      <w:marLeft w:val="0"/>
      <w:marRight w:val="0"/>
      <w:marTop w:val="0"/>
      <w:marBottom w:val="0"/>
      <w:divBdr>
        <w:top w:val="none" w:sz="0" w:space="0" w:color="auto"/>
        <w:left w:val="none" w:sz="0" w:space="0" w:color="auto"/>
        <w:bottom w:val="none" w:sz="0" w:space="0" w:color="auto"/>
        <w:right w:val="none" w:sz="0" w:space="0" w:color="auto"/>
      </w:divBdr>
    </w:div>
    <w:div w:id="305862455">
      <w:bodyDiv w:val="1"/>
      <w:marLeft w:val="0"/>
      <w:marRight w:val="0"/>
      <w:marTop w:val="0"/>
      <w:marBottom w:val="0"/>
      <w:divBdr>
        <w:top w:val="none" w:sz="0" w:space="0" w:color="auto"/>
        <w:left w:val="none" w:sz="0" w:space="0" w:color="auto"/>
        <w:bottom w:val="none" w:sz="0" w:space="0" w:color="auto"/>
        <w:right w:val="none" w:sz="0" w:space="0" w:color="auto"/>
      </w:divBdr>
    </w:div>
    <w:div w:id="316766611">
      <w:bodyDiv w:val="1"/>
      <w:marLeft w:val="0"/>
      <w:marRight w:val="0"/>
      <w:marTop w:val="0"/>
      <w:marBottom w:val="0"/>
      <w:divBdr>
        <w:top w:val="none" w:sz="0" w:space="0" w:color="auto"/>
        <w:left w:val="none" w:sz="0" w:space="0" w:color="auto"/>
        <w:bottom w:val="none" w:sz="0" w:space="0" w:color="auto"/>
        <w:right w:val="none" w:sz="0" w:space="0" w:color="auto"/>
      </w:divBdr>
    </w:div>
    <w:div w:id="318850806">
      <w:bodyDiv w:val="1"/>
      <w:marLeft w:val="0"/>
      <w:marRight w:val="0"/>
      <w:marTop w:val="0"/>
      <w:marBottom w:val="0"/>
      <w:divBdr>
        <w:top w:val="none" w:sz="0" w:space="0" w:color="auto"/>
        <w:left w:val="none" w:sz="0" w:space="0" w:color="auto"/>
        <w:bottom w:val="none" w:sz="0" w:space="0" w:color="auto"/>
        <w:right w:val="none" w:sz="0" w:space="0" w:color="auto"/>
      </w:divBdr>
    </w:div>
    <w:div w:id="322702964">
      <w:bodyDiv w:val="1"/>
      <w:marLeft w:val="0"/>
      <w:marRight w:val="0"/>
      <w:marTop w:val="0"/>
      <w:marBottom w:val="0"/>
      <w:divBdr>
        <w:top w:val="none" w:sz="0" w:space="0" w:color="auto"/>
        <w:left w:val="none" w:sz="0" w:space="0" w:color="auto"/>
        <w:bottom w:val="none" w:sz="0" w:space="0" w:color="auto"/>
        <w:right w:val="none" w:sz="0" w:space="0" w:color="auto"/>
      </w:divBdr>
    </w:div>
    <w:div w:id="324552876">
      <w:bodyDiv w:val="1"/>
      <w:marLeft w:val="0"/>
      <w:marRight w:val="0"/>
      <w:marTop w:val="0"/>
      <w:marBottom w:val="0"/>
      <w:divBdr>
        <w:top w:val="none" w:sz="0" w:space="0" w:color="auto"/>
        <w:left w:val="none" w:sz="0" w:space="0" w:color="auto"/>
        <w:bottom w:val="none" w:sz="0" w:space="0" w:color="auto"/>
        <w:right w:val="none" w:sz="0" w:space="0" w:color="auto"/>
      </w:divBdr>
    </w:div>
    <w:div w:id="330068723">
      <w:bodyDiv w:val="1"/>
      <w:marLeft w:val="0"/>
      <w:marRight w:val="0"/>
      <w:marTop w:val="0"/>
      <w:marBottom w:val="0"/>
      <w:divBdr>
        <w:top w:val="none" w:sz="0" w:space="0" w:color="auto"/>
        <w:left w:val="none" w:sz="0" w:space="0" w:color="auto"/>
        <w:bottom w:val="none" w:sz="0" w:space="0" w:color="auto"/>
        <w:right w:val="none" w:sz="0" w:space="0" w:color="auto"/>
      </w:divBdr>
    </w:div>
    <w:div w:id="331299447">
      <w:bodyDiv w:val="1"/>
      <w:marLeft w:val="0"/>
      <w:marRight w:val="0"/>
      <w:marTop w:val="0"/>
      <w:marBottom w:val="0"/>
      <w:divBdr>
        <w:top w:val="none" w:sz="0" w:space="0" w:color="auto"/>
        <w:left w:val="none" w:sz="0" w:space="0" w:color="auto"/>
        <w:bottom w:val="none" w:sz="0" w:space="0" w:color="auto"/>
        <w:right w:val="none" w:sz="0" w:space="0" w:color="auto"/>
      </w:divBdr>
    </w:div>
    <w:div w:id="332533502">
      <w:bodyDiv w:val="1"/>
      <w:marLeft w:val="0"/>
      <w:marRight w:val="0"/>
      <w:marTop w:val="0"/>
      <w:marBottom w:val="0"/>
      <w:divBdr>
        <w:top w:val="none" w:sz="0" w:space="0" w:color="auto"/>
        <w:left w:val="none" w:sz="0" w:space="0" w:color="auto"/>
        <w:bottom w:val="none" w:sz="0" w:space="0" w:color="auto"/>
        <w:right w:val="none" w:sz="0" w:space="0" w:color="auto"/>
      </w:divBdr>
    </w:div>
    <w:div w:id="337344758">
      <w:bodyDiv w:val="1"/>
      <w:marLeft w:val="0"/>
      <w:marRight w:val="0"/>
      <w:marTop w:val="0"/>
      <w:marBottom w:val="0"/>
      <w:divBdr>
        <w:top w:val="none" w:sz="0" w:space="0" w:color="auto"/>
        <w:left w:val="none" w:sz="0" w:space="0" w:color="auto"/>
        <w:bottom w:val="none" w:sz="0" w:space="0" w:color="auto"/>
        <w:right w:val="none" w:sz="0" w:space="0" w:color="auto"/>
      </w:divBdr>
    </w:div>
    <w:div w:id="339890930">
      <w:bodyDiv w:val="1"/>
      <w:marLeft w:val="0"/>
      <w:marRight w:val="0"/>
      <w:marTop w:val="0"/>
      <w:marBottom w:val="0"/>
      <w:divBdr>
        <w:top w:val="none" w:sz="0" w:space="0" w:color="auto"/>
        <w:left w:val="none" w:sz="0" w:space="0" w:color="auto"/>
        <w:bottom w:val="none" w:sz="0" w:space="0" w:color="auto"/>
        <w:right w:val="none" w:sz="0" w:space="0" w:color="auto"/>
      </w:divBdr>
    </w:div>
    <w:div w:id="350104548">
      <w:bodyDiv w:val="1"/>
      <w:marLeft w:val="0"/>
      <w:marRight w:val="0"/>
      <w:marTop w:val="0"/>
      <w:marBottom w:val="0"/>
      <w:divBdr>
        <w:top w:val="none" w:sz="0" w:space="0" w:color="auto"/>
        <w:left w:val="none" w:sz="0" w:space="0" w:color="auto"/>
        <w:bottom w:val="none" w:sz="0" w:space="0" w:color="auto"/>
        <w:right w:val="none" w:sz="0" w:space="0" w:color="auto"/>
      </w:divBdr>
    </w:div>
    <w:div w:id="352539385">
      <w:bodyDiv w:val="1"/>
      <w:marLeft w:val="0"/>
      <w:marRight w:val="0"/>
      <w:marTop w:val="0"/>
      <w:marBottom w:val="0"/>
      <w:divBdr>
        <w:top w:val="none" w:sz="0" w:space="0" w:color="auto"/>
        <w:left w:val="none" w:sz="0" w:space="0" w:color="auto"/>
        <w:bottom w:val="none" w:sz="0" w:space="0" w:color="auto"/>
        <w:right w:val="none" w:sz="0" w:space="0" w:color="auto"/>
      </w:divBdr>
    </w:div>
    <w:div w:id="355615819">
      <w:bodyDiv w:val="1"/>
      <w:marLeft w:val="0"/>
      <w:marRight w:val="0"/>
      <w:marTop w:val="0"/>
      <w:marBottom w:val="0"/>
      <w:divBdr>
        <w:top w:val="none" w:sz="0" w:space="0" w:color="auto"/>
        <w:left w:val="none" w:sz="0" w:space="0" w:color="auto"/>
        <w:bottom w:val="none" w:sz="0" w:space="0" w:color="auto"/>
        <w:right w:val="none" w:sz="0" w:space="0" w:color="auto"/>
      </w:divBdr>
      <w:divsChild>
        <w:div w:id="484515609">
          <w:marLeft w:val="547"/>
          <w:marRight w:val="0"/>
          <w:marTop w:val="77"/>
          <w:marBottom w:val="0"/>
          <w:divBdr>
            <w:top w:val="none" w:sz="0" w:space="0" w:color="auto"/>
            <w:left w:val="none" w:sz="0" w:space="0" w:color="auto"/>
            <w:bottom w:val="none" w:sz="0" w:space="0" w:color="auto"/>
            <w:right w:val="none" w:sz="0" w:space="0" w:color="auto"/>
          </w:divBdr>
        </w:div>
      </w:divsChild>
    </w:div>
    <w:div w:id="356005082">
      <w:bodyDiv w:val="1"/>
      <w:marLeft w:val="0"/>
      <w:marRight w:val="0"/>
      <w:marTop w:val="0"/>
      <w:marBottom w:val="0"/>
      <w:divBdr>
        <w:top w:val="none" w:sz="0" w:space="0" w:color="auto"/>
        <w:left w:val="none" w:sz="0" w:space="0" w:color="auto"/>
        <w:bottom w:val="none" w:sz="0" w:space="0" w:color="auto"/>
        <w:right w:val="none" w:sz="0" w:space="0" w:color="auto"/>
      </w:divBdr>
    </w:div>
    <w:div w:id="367683364">
      <w:bodyDiv w:val="1"/>
      <w:marLeft w:val="0"/>
      <w:marRight w:val="0"/>
      <w:marTop w:val="0"/>
      <w:marBottom w:val="0"/>
      <w:divBdr>
        <w:top w:val="none" w:sz="0" w:space="0" w:color="auto"/>
        <w:left w:val="none" w:sz="0" w:space="0" w:color="auto"/>
        <w:bottom w:val="none" w:sz="0" w:space="0" w:color="auto"/>
        <w:right w:val="none" w:sz="0" w:space="0" w:color="auto"/>
      </w:divBdr>
    </w:div>
    <w:div w:id="371686433">
      <w:bodyDiv w:val="1"/>
      <w:marLeft w:val="0"/>
      <w:marRight w:val="0"/>
      <w:marTop w:val="0"/>
      <w:marBottom w:val="0"/>
      <w:divBdr>
        <w:top w:val="none" w:sz="0" w:space="0" w:color="auto"/>
        <w:left w:val="none" w:sz="0" w:space="0" w:color="auto"/>
        <w:bottom w:val="none" w:sz="0" w:space="0" w:color="auto"/>
        <w:right w:val="none" w:sz="0" w:space="0" w:color="auto"/>
      </w:divBdr>
    </w:div>
    <w:div w:id="379716502">
      <w:bodyDiv w:val="1"/>
      <w:marLeft w:val="0"/>
      <w:marRight w:val="0"/>
      <w:marTop w:val="0"/>
      <w:marBottom w:val="0"/>
      <w:divBdr>
        <w:top w:val="none" w:sz="0" w:space="0" w:color="auto"/>
        <w:left w:val="none" w:sz="0" w:space="0" w:color="auto"/>
        <w:bottom w:val="none" w:sz="0" w:space="0" w:color="auto"/>
        <w:right w:val="none" w:sz="0" w:space="0" w:color="auto"/>
      </w:divBdr>
    </w:div>
    <w:div w:id="381364720">
      <w:bodyDiv w:val="1"/>
      <w:marLeft w:val="0"/>
      <w:marRight w:val="0"/>
      <w:marTop w:val="0"/>
      <w:marBottom w:val="0"/>
      <w:divBdr>
        <w:top w:val="none" w:sz="0" w:space="0" w:color="auto"/>
        <w:left w:val="none" w:sz="0" w:space="0" w:color="auto"/>
        <w:bottom w:val="none" w:sz="0" w:space="0" w:color="auto"/>
        <w:right w:val="none" w:sz="0" w:space="0" w:color="auto"/>
      </w:divBdr>
    </w:div>
    <w:div w:id="398598552">
      <w:bodyDiv w:val="1"/>
      <w:marLeft w:val="0"/>
      <w:marRight w:val="0"/>
      <w:marTop w:val="0"/>
      <w:marBottom w:val="0"/>
      <w:divBdr>
        <w:top w:val="none" w:sz="0" w:space="0" w:color="auto"/>
        <w:left w:val="none" w:sz="0" w:space="0" w:color="auto"/>
        <w:bottom w:val="none" w:sz="0" w:space="0" w:color="auto"/>
        <w:right w:val="none" w:sz="0" w:space="0" w:color="auto"/>
      </w:divBdr>
    </w:div>
    <w:div w:id="400713784">
      <w:bodyDiv w:val="1"/>
      <w:marLeft w:val="0"/>
      <w:marRight w:val="0"/>
      <w:marTop w:val="0"/>
      <w:marBottom w:val="0"/>
      <w:divBdr>
        <w:top w:val="none" w:sz="0" w:space="0" w:color="auto"/>
        <w:left w:val="none" w:sz="0" w:space="0" w:color="auto"/>
        <w:bottom w:val="none" w:sz="0" w:space="0" w:color="auto"/>
        <w:right w:val="none" w:sz="0" w:space="0" w:color="auto"/>
      </w:divBdr>
    </w:div>
    <w:div w:id="401223216">
      <w:bodyDiv w:val="1"/>
      <w:marLeft w:val="0"/>
      <w:marRight w:val="0"/>
      <w:marTop w:val="0"/>
      <w:marBottom w:val="0"/>
      <w:divBdr>
        <w:top w:val="none" w:sz="0" w:space="0" w:color="auto"/>
        <w:left w:val="none" w:sz="0" w:space="0" w:color="auto"/>
        <w:bottom w:val="none" w:sz="0" w:space="0" w:color="auto"/>
        <w:right w:val="none" w:sz="0" w:space="0" w:color="auto"/>
      </w:divBdr>
    </w:div>
    <w:div w:id="402989411">
      <w:bodyDiv w:val="1"/>
      <w:marLeft w:val="0"/>
      <w:marRight w:val="0"/>
      <w:marTop w:val="0"/>
      <w:marBottom w:val="0"/>
      <w:divBdr>
        <w:top w:val="none" w:sz="0" w:space="0" w:color="auto"/>
        <w:left w:val="none" w:sz="0" w:space="0" w:color="auto"/>
        <w:bottom w:val="none" w:sz="0" w:space="0" w:color="auto"/>
        <w:right w:val="none" w:sz="0" w:space="0" w:color="auto"/>
      </w:divBdr>
    </w:div>
    <w:div w:id="403643567">
      <w:bodyDiv w:val="1"/>
      <w:marLeft w:val="0"/>
      <w:marRight w:val="0"/>
      <w:marTop w:val="0"/>
      <w:marBottom w:val="0"/>
      <w:divBdr>
        <w:top w:val="none" w:sz="0" w:space="0" w:color="auto"/>
        <w:left w:val="none" w:sz="0" w:space="0" w:color="auto"/>
        <w:bottom w:val="none" w:sz="0" w:space="0" w:color="auto"/>
        <w:right w:val="none" w:sz="0" w:space="0" w:color="auto"/>
      </w:divBdr>
    </w:div>
    <w:div w:id="407533654">
      <w:bodyDiv w:val="1"/>
      <w:marLeft w:val="0"/>
      <w:marRight w:val="0"/>
      <w:marTop w:val="0"/>
      <w:marBottom w:val="0"/>
      <w:divBdr>
        <w:top w:val="none" w:sz="0" w:space="0" w:color="auto"/>
        <w:left w:val="none" w:sz="0" w:space="0" w:color="auto"/>
        <w:bottom w:val="none" w:sz="0" w:space="0" w:color="auto"/>
        <w:right w:val="none" w:sz="0" w:space="0" w:color="auto"/>
      </w:divBdr>
    </w:div>
    <w:div w:id="408962337">
      <w:bodyDiv w:val="1"/>
      <w:marLeft w:val="0"/>
      <w:marRight w:val="0"/>
      <w:marTop w:val="0"/>
      <w:marBottom w:val="0"/>
      <w:divBdr>
        <w:top w:val="none" w:sz="0" w:space="0" w:color="auto"/>
        <w:left w:val="none" w:sz="0" w:space="0" w:color="auto"/>
        <w:bottom w:val="none" w:sz="0" w:space="0" w:color="auto"/>
        <w:right w:val="none" w:sz="0" w:space="0" w:color="auto"/>
      </w:divBdr>
    </w:div>
    <w:div w:id="415782385">
      <w:bodyDiv w:val="1"/>
      <w:marLeft w:val="0"/>
      <w:marRight w:val="0"/>
      <w:marTop w:val="0"/>
      <w:marBottom w:val="0"/>
      <w:divBdr>
        <w:top w:val="none" w:sz="0" w:space="0" w:color="auto"/>
        <w:left w:val="none" w:sz="0" w:space="0" w:color="auto"/>
        <w:bottom w:val="none" w:sz="0" w:space="0" w:color="auto"/>
        <w:right w:val="none" w:sz="0" w:space="0" w:color="auto"/>
      </w:divBdr>
    </w:div>
    <w:div w:id="427777701">
      <w:bodyDiv w:val="1"/>
      <w:marLeft w:val="0"/>
      <w:marRight w:val="0"/>
      <w:marTop w:val="0"/>
      <w:marBottom w:val="0"/>
      <w:divBdr>
        <w:top w:val="none" w:sz="0" w:space="0" w:color="auto"/>
        <w:left w:val="none" w:sz="0" w:space="0" w:color="auto"/>
        <w:bottom w:val="none" w:sz="0" w:space="0" w:color="auto"/>
        <w:right w:val="none" w:sz="0" w:space="0" w:color="auto"/>
      </w:divBdr>
    </w:div>
    <w:div w:id="438379380">
      <w:bodyDiv w:val="1"/>
      <w:marLeft w:val="0"/>
      <w:marRight w:val="0"/>
      <w:marTop w:val="0"/>
      <w:marBottom w:val="0"/>
      <w:divBdr>
        <w:top w:val="none" w:sz="0" w:space="0" w:color="auto"/>
        <w:left w:val="none" w:sz="0" w:space="0" w:color="auto"/>
        <w:bottom w:val="none" w:sz="0" w:space="0" w:color="auto"/>
        <w:right w:val="none" w:sz="0" w:space="0" w:color="auto"/>
      </w:divBdr>
    </w:div>
    <w:div w:id="443231457">
      <w:bodyDiv w:val="1"/>
      <w:marLeft w:val="0"/>
      <w:marRight w:val="0"/>
      <w:marTop w:val="0"/>
      <w:marBottom w:val="0"/>
      <w:divBdr>
        <w:top w:val="none" w:sz="0" w:space="0" w:color="auto"/>
        <w:left w:val="none" w:sz="0" w:space="0" w:color="auto"/>
        <w:bottom w:val="none" w:sz="0" w:space="0" w:color="auto"/>
        <w:right w:val="none" w:sz="0" w:space="0" w:color="auto"/>
      </w:divBdr>
    </w:div>
    <w:div w:id="448815961">
      <w:bodyDiv w:val="1"/>
      <w:marLeft w:val="0"/>
      <w:marRight w:val="0"/>
      <w:marTop w:val="0"/>
      <w:marBottom w:val="0"/>
      <w:divBdr>
        <w:top w:val="none" w:sz="0" w:space="0" w:color="auto"/>
        <w:left w:val="none" w:sz="0" w:space="0" w:color="auto"/>
        <w:bottom w:val="none" w:sz="0" w:space="0" w:color="auto"/>
        <w:right w:val="none" w:sz="0" w:space="0" w:color="auto"/>
      </w:divBdr>
    </w:div>
    <w:div w:id="469052685">
      <w:bodyDiv w:val="1"/>
      <w:marLeft w:val="0"/>
      <w:marRight w:val="0"/>
      <w:marTop w:val="0"/>
      <w:marBottom w:val="0"/>
      <w:divBdr>
        <w:top w:val="none" w:sz="0" w:space="0" w:color="auto"/>
        <w:left w:val="none" w:sz="0" w:space="0" w:color="auto"/>
        <w:bottom w:val="none" w:sz="0" w:space="0" w:color="auto"/>
        <w:right w:val="none" w:sz="0" w:space="0" w:color="auto"/>
      </w:divBdr>
    </w:div>
    <w:div w:id="469901144">
      <w:bodyDiv w:val="1"/>
      <w:marLeft w:val="0"/>
      <w:marRight w:val="0"/>
      <w:marTop w:val="0"/>
      <w:marBottom w:val="0"/>
      <w:divBdr>
        <w:top w:val="none" w:sz="0" w:space="0" w:color="auto"/>
        <w:left w:val="none" w:sz="0" w:space="0" w:color="auto"/>
        <w:bottom w:val="none" w:sz="0" w:space="0" w:color="auto"/>
        <w:right w:val="none" w:sz="0" w:space="0" w:color="auto"/>
      </w:divBdr>
    </w:div>
    <w:div w:id="475028092">
      <w:bodyDiv w:val="1"/>
      <w:marLeft w:val="0"/>
      <w:marRight w:val="0"/>
      <w:marTop w:val="0"/>
      <w:marBottom w:val="0"/>
      <w:divBdr>
        <w:top w:val="none" w:sz="0" w:space="0" w:color="auto"/>
        <w:left w:val="none" w:sz="0" w:space="0" w:color="auto"/>
        <w:bottom w:val="none" w:sz="0" w:space="0" w:color="auto"/>
        <w:right w:val="none" w:sz="0" w:space="0" w:color="auto"/>
      </w:divBdr>
    </w:div>
    <w:div w:id="494566633">
      <w:bodyDiv w:val="1"/>
      <w:marLeft w:val="0"/>
      <w:marRight w:val="0"/>
      <w:marTop w:val="0"/>
      <w:marBottom w:val="0"/>
      <w:divBdr>
        <w:top w:val="none" w:sz="0" w:space="0" w:color="auto"/>
        <w:left w:val="none" w:sz="0" w:space="0" w:color="auto"/>
        <w:bottom w:val="none" w:sz="0" w:space="0" w:color="auto"/>
        <w:right w:val="none" w:sz="0" w:space="0" w:color="auto"/>
      </w:divBdr>
    </w:div>
    <w:div w:id="507446619">
      <w:bodyDiv w:val="1"/>
      <w:marLeft w:val="0"/>
      <w:marRight w:val="0"/>
      <w:marTop w:val="0"/>
      <w:marBottom w:val="0"/>
      <w:divBdr>
        <w:top w:val="none" w:sz="0" w:space="0" w:color="auto"/>
        <w:left w:val="none" w:sz="0" w:space="0" w:color="auto"/>
        <w:bottom w:val="none" w:sz="0" w:space="0" w:color="auto"/>
        <w:right w:val="none" w:sz="0" w:space="0" w:color="auto"/>
      </w:divBdr>
    </w:div>
    <w:div w:id="511528590">
      <w:bodyDiv w:val="1"/>
      <w:marLeft w:val="0"/>
      <w:marRight w:val="0"/>
      <w:marTop w:val="0"/>
      <w:marBottom w:val="0"/>
      <w:divBdr>
        <w:top w:val="none" w:sz="0" w:space="0" w:color="auto"/>
        <w:left w:val="none" w:sz="0" w:space="0" w:color="auto"/>
        <w:bottom w:val="none" w:sz="0" w:space="0" w:color="auto"/>
        <w:right w:val="none" w:sz="0" w:space="0" w:color="auto"/>
      </w:divBdr>
    </w:div>
    <w:div w:id="523709362">
      <w:bodyDiv w:val="1"/>
      <w:marLeft w:val="0"/>
      <w:marRight w:val="0"/>
      <w:marTop w:val="0"/>
      <w:marBottom w:val="0"/>
      <w:divBdr>
        <w:top w:val="none" w:sz="0" w:space="0" w:color="auto"/>
        <w:left w:val="none" w:sz="0" w:space="0" w:color="auto"/>
        <w:bottom w:val="none" w:sz="0" w:space="0" w:color="auto"/>
        <w:right w:val="none" w:sz="0" w:space="0" w:color="auto"/>
      </w:divBdr>
    </w:div>
    <w:div w:id="523982022">
      <w:bodyDiv w:val="1"/>
      <w:marLeft w:val="0"/>
      <w:marRight w:val="0"/>
      <w:marTop w:val="0"/>
      <w:marBottom w:val="0"/>
      <w:divBdr>
        <w:top w:val="none" w:sz="0" w:space="0" w:color="auto"/>
        <w:left w:val="none" w:sz="0" w:space="0" w:color="auto"/>
        <w:bottom w:val="none" w:sz="0" w:space="0" w:color="auto"/>
        <w:right w:val="none" w:sz="0" w:space="0" w:color="auto"/>
      </w:divBdr>
    </w:div>
    <w:div w:id="526604116">
      <w:bodyDiv w:val="1"/>
      <w:marLeft w:val="0"/>
      <w:marRight w:val="0"/>
      <w:marTop w:val="0"/>
      <w:marBottom w:val="0"/>
      <w:divBdr>
        <w:top w:val="none" w:sz="0" w:space="0" w:color="auto"/>
        <w:left w:val="none" w:sz="0" w:space="0" w:color="auto"/>
        <w:bottom w:val="none" w:sz="0" w:space="0" w:color="auto"/>
        <w:right w:val="none" w:sz="0" w:space="0" w:color="auto"/>
      </w:divBdr>
    </w:div>
    <w:div w:id="540287566">
      <w:bodyDiv w:val="1"/>
      <w:marLeft w:val="0"/>
      <w:marRight w:val="0"/>
      <w:marTop w:val="0"/>
      <w:marBottom w:val="0"/>
      <w:divBdr>
        <w:top w:val="none" w:sz="0" w:space="0" w:color="auto"/>
        <w:left w:val="none" w:sz="0" w:space="0" w:color="auto"/>
        <w:bottom w:val="none" w:sz="0" w:space="0" w:color="auto"/>
        <w:right w:val="none" w:sz="0" w:space="0" w:color="auto"/>
      </w:divBdr>
    </w:div>
    <w:div w:id="549728090">
      <w:bodyDiv w:val="1"/>
      <w:marLeft w:val="0"/>
      <w:marRight w:val="0"/>
      <w:marTop w:val="0"/>
      <w:marBottom w:val="0"/>
      <w:divBdr>
        <w:top w:val="none" w:sz="0" w:space="0" w:color="auto"/>
        <w:left w:val="none" w:sz="0" w:space="0" w:color="auto"/>
        <w:bottom w:val="none" w:sz="0" w:space="0" w:color="auto"/>
        <w:right w:val="none" w:sz="0" w:space="0" w:color="auto"/>
      </w:divBdr>
    </w:div>
    <w:div w:id="557597798">
      <w:bodyDiv w:val="1"/>
      <w:marLeft w:val="0"/>
      <w:marRight w:val="0"/>
      <w:marTop w:val="0"/>
      <w:marBottom w:val="0"/>
      <w:divBdr>
        <w:top w:val="none" w:sz="0" w:space="0" w:color="auto"/>
        <w:left w:val="none" w:sz="0" w:space="0" w:color="auto"/>
        <w:bottom w:val="none" w:sz="0" w:space="0" w:color="auto"/>
        <w:right w:val="none" w:sz="0" w:space="0" w:color="auto"/>
      </w:divBdr>
    </w:div>
    <w:div w:id="565191777">
      <w:bodyDiv w:val="1"/>
      <w:marLeft w:val="0"/>
      <w:marRight w:val="0"/>
      <w:marTop w:val="0"/>
      <w:marBottom w:val="0"/>
      <w:divBdr>
        <w:top w:val="none" w:sz="0" w:space="0" w:color="auto"/>
        <w:left w:val="none" w:sz="0" w:space="0" w:color="auto"/>
        <w:bottom w:val="none" w:sz="0" w:space="0" w:color="auto"/>
        <w:right w:val="none" w:sz="0" w:space="0" w:color="auto"/>
      </w:divBdr>
    </w:div>
    <w:div w:id="577402585">
      <w:bodyDiv w:val="1"/>
      <w:marLeft w:val="0"/>
      <w:marRight w:val="0"/>
      <w:marTop w:val="0"/>
      <w:marBottom w:val="0"/>
      <w:divBdr>
        <w:top w:val="none" w:sz="0" w:space="0" w:color="auto"/>
        <w:left w:val="none" w:sz="0" w:space="0" w:color="auto"/>
        <w:bottom w:val="none" w:sz="0" w:space="0" w:color="auto"/>
        <w:right w:val="none" w:sz="0" w:space="0" w:color="auto"/>
      </w:divBdr>
    </w:div>
    <w:div w:id="582885015">
      <w:bodyDiv w:val="1"/>
      <w:marLeft w:val="0"/>
      <w:marRight w:val="0"/>
      <w:marTop w:val="0"/>
      <w:marBottom w:val="0"/>
      <w:divBdr>
        <w:top w:val="none" w:sz="0" w:space="0" w:color="auto"/>
        <w:left w:val="none" w:sz="0" w:space="0" w:color="auto"/>
        <w:bottom w:val="none" w:sz="0" w:space="0" w:color="auto"/>
        <w:right w:val="none" w:sz="0" w:space="0" w:color="auto"/>
      </w:divBdr>
    </w:div>
    <w:div w:id="589044828">
      <w:bodyDiv w:val="1"/>
      <w:marLeft w:val="0"/>
      <w:marRight w:val="0"/>
      <w:marTop w:val="0"/>
      <w:marBottom w:val="0"/>
      <w:divBdr>
        <w:top w:val="none" w:sz="0" w:space="0" w:color="auto"/>
        <w:left w:val="none" w:sz="0" w:space="0" w:color="auto"/>
        <w:bottom w:val="none" w:sz="0" w:space="0" w:color="auto"/>
        <w:right w:val="none" w:sz="0" w:space="0" w:color="auto"/>
      </w:divBdr>
    </w:div>
    <w:div w:id="590622568">
      <w:bodyDiv w:val="1"/>
      <w:marLeft w:val="0"/>
      <w:marRight w:val="0"/>
      <w:marTop w:val="0"/>
      <w:marBottom w:val="0"/>
      <w:divBdr>
        <w:top w:val="none" w:sz="0" w:space="0" w:color="auto"/>
        <w:left w:val="none" w:sz="0" w:space="0" w:color="auto"/>
        <w:bottom w:val="none" w:sz="0" w:space="0" w:color="auto"/>
        <w:right w:val="none" w:sz="0" w:space="0" w:color="auto"/>
      </w:divBdr>
    </w:div>
    <w:div w:id="591359388">
      <w:bodyDiv w:val="1"/>
      <w:marLeft w:val="0"/>
      <w:marRight w:val="0"/>
      <w:marTop w:val="0"/>
      <w:marBottom w:val="0"/>
      <w:divBdr>
        <w:top w:val="none" w:sz="0" w:space="0" w:color="auto"/>
        <w:left w:val="none" w:sz="0" w:space="0" w:color="auto"/>
        <w:bottom w:val="none" w:sz="0" w:space="0" w:color="auto"/>
        <w:right w:val="none" w:sz="0" w:space="0" w:color="auto"/>
      </w:divBdr>
    </w:div>
    <w:div w:id="597567787">
      <w:bodyDiv w:val="1"/>
      <w:marLeft w:val="0"/>
      <w:marRight w:val="0"/>
      <w:marTop w:val="0"/>
      <w:marBottom w:val="0"/>
      <w:divBdr>
        <w:top w:val="none" w:sz="0" w:space="0" w:color="auto"/>
        <w:left w:val="none" w:sz="0" w:space="0" w:color="auto"/>
        <w:bottom w:val="none" w:sz="0" w:space="0" w:color="auto"/>
        <w:right w:val="none" w:sz="0" w:space="0" w:color="auto"/>
      </w:divBdr>
    </w:div>
    <w:div w:id="598370329">
      <w:bodyDiv w:val="1"/>
      <w:marLeft w:val="0"/>
      <w:marRight w:val="0"/>
      <w:marTop w:val="0"/>
      <w:marBottom w:val="0"/>
      <w:divBdr>
        <w:top w:val="none" w:sz="0" w:space="0" w:color="auto"/>
        <w:left w:val="none" w:sz="0" w:space="0" w:color="auto"/>
        <w:bottom w:val="none" w:sz="0" w:space="0" w:color="auto"/>
        <w:right w:val="none" w:sz="0" w:space="0" w:color="auto"/>
      </w:divBdr>
    </w:div>
    <w:div w:id="600070073">
      <w:bodyDiv w:val="1"/>
      <w:marLeft w:val="0"/>
      <w:marRight w:val="0"/>
      <w:marTop w:val="0"/>
      <w:marBottom w:val="0"/>
      <w:divBdr>
        <w:top w:val="none" w:sz="0" w:space="0" w:color="auto"/>
        <w:left w:val="none" w:sz="0" w:space="0" w:color="auto"/>
        <w:bottom w:val="none" w:sz="0" w:space="0" w:color="auto"/>
        <w:right w:val="none" w:sz="0" w:space="0" w:color="auto"/>
      </w:divBdr>
    </w:div>
    <w:div w:id="600379117">
      <w:bodyDiv w:val="1"/>
      <w:marLeft w:val="0"/>
      <w:marRight w:val="0"/>
      <w:marTop w:val="0"/>
      <w:marBottom w:val="0"/>
      <w:divBdr>
        <w:top w:val="none" w:sz="0" w:space="0" w:color="auto"/>
        <w:left w:val="none" w:sz="0" w:space="0" w:color="auto"/>
        <w:bottom w:val="none" w:sz="0" w:space="0" w:color="auto"/>
        <w:right w:val="none" w:sz="0" w:space="0" w:color="auto"/>
      </w:divBdr>
    </w:div>
    <w:div w:id="605815932">
      <w:bodyDiv w:val="1"/>
      <w:marLeft w:val="0"/>
      <w:marRight w:val="0"/>
      <w:marTop w:val="0"/>
      <w:marBottom w:val="0"/>
      <w:divBdr>
        <w:top w:val="none" w:sz="0" w:space="0" w:color="auto"/>
        <w:left w:val="none" w:sz="0" w:space="0" w:color="auto"/>
        <w:bottom w:val="none" w:sz="0" w:space="0" w:color="auto"/>
        <w:right w:val="none" w:sz="0" w:space="0" w:color="auto"/>
      </w:divBdr>
    </w:div>
    <w:div w:id="607934664">
      <w:bodyDiv w:val="1"/>
      <w:marLeft w:val="0"/>
      <w:marRight w:val="0"/>
      <w:marTop w:val="0"/>
      <w:marBottom w:val="0"/>
      <w:divBdr>
        <w:top w:val="none" w:sz="0" w:space="0" w:color="auto"/>
        <w:left w:val="none" w:sz="0" w:space="0" w:color="auto"/>
        <w:bottom w:val="none" w:sz="0" w:space="0" w:color="auto"/>
        <w:right w:val="none" w:sz="0" w:space="0" w:color="auto"/>
      </w:divBdr>
    </w:div>
    <w:div w:id="619800921">
      <w:bodyDiv w:val="1"/>
      <w:marLeft w:val="0"/>
      <w:marRight w:val="0"/>
      <w:marTop w:val="0"/>
      <w:marBottom w:val="0"/>
      <w:divBdr>
        <w:top w:val="none" w:sz="0" w:space="0" w:color="auto"/>
        <w:left w:val="none" w:sz="0" w:space="0" w:color="auto"/>
        <w:bottom w:val="none" w:sz="0" w:space="0" w:color="auto"/>
        <w:right w:val="none" w:sz="0" w:space="0" w:color="auto"/>
      </w:divBdr>
    </w:div>
    <w:div w:id="620040470">
      <w:bodyDiv w:val="1"/>
      <w:marLeft w:val="0"/>
      <w:marRight w:val="0"/>
      <w:marTop w:val="0"/>
      <w:marBottom w:val="0"/>
      <w:divBdr>
        <w:top w:val="none" w:sz="0" w:space="0" w:color="auto"/>
        <w:left w:val="none" w:sz="0" w:space="0" w:color="auto"/>
        <w:bottom w:val="none" w:sz="0" w:space="0" w:color="auto"/>
        <w:right w:val="none" w:sz="0" w:space="0" w:color="auto"/>
      </w:divBdr>
    </w:div>
    <w:div w:id="627318138">
      <w:bodyDiv w:val="1"/>
      <w:marLeft w:val="0"/>
      <w:marRight w:val="0"/>
      <w:marTop w:val="0"/>
      <w:marBottom w:val="0"/>
      <w:divBdr>
        <w:top w:val="none" w:sz="0" w:space="0" w:color="auto"/>
        <w:left w:val="none" w:sz="0" w:space="0" w:color="auto"/>
        <w:bottom w:val="none" w:sz="0" w:space="0" w:color="auto"/>
        <w:right w:val="none" w:sz="0" w:space="0" w:color="auto"/>
      </w:divBdr>
    </w:div>
    <w:div w:id="645204361">
      <w:bodyDiv w:val="1"/>
      <w:marLeft w:val="0"/>
      <w:marRight w:val="0"/>
      <w:marTop w:val="0"/>
      <w:marBottom w:val="0"/>
      <w:divBdr>
        <w:top w:val="none" w:sz="0" w:space="0" w:color="auto"/>
        <w:left w:val="none" w:sz="0" w:space="0" w:color="auto"/>
        <w:bottom w:val="none" w:sz="0" w:space="0" w:color="auto"/>
        <w:right w:val="none" w:sz="0" w:space="0" w:color="auto"/>
      </w:divBdr>
    </w:div>
    <w:div w:id="647588409">
      <w:bodyDiv w:val="1"/>
      <w:marLeft w:val="0"/>
      <w:marRight w:val="0"/>
      <w:marTop w:val="0"/>
      <w:marBottom w:val="0"/>
      <w:divBdr>
        <w:top w:val="none" w:sz="0" w:space="0" w:color="auto"/>
        <w:left w:val="none" w:sz="0" w:space="0" w:color="auto"/>
        <w:bottom w:val="none" w:sz="0" w:space="0" w:color="auto"/>
        <w:right w:val="none" w:sz="0" w:space="0" w:color="auto"/>
      </w:divBdr>
    </w:div>
    <w:div w:id="656885047">
      <w:bodyDiv w:val="1"/>
      <w:marLeft w:val="0"/>
      <w:marRight w:val="0"/>
      <w:marTop w:val="0"/>
      <w:marBottom w:val="0"/>
      <w:divBdr>
        <w:top w:val="none" w:sz="0" w:space="0" w:color="auto"/>
        <w:left w:val="none" w:sz="0" w:space="0" w:color="auto"/>
        <w:bottom w:val="none" w:sz="0" w:space="0" w:color="auto"/>
        <w:right w:val="none" w:sz="0" w:space="0" w:color="auto"/>
      </w:divBdr>
    </w:div>
    <w:div w:id="660890494">
      <w:bodyDiv w:val="1"/>
      <w:marLeft w:val="0"/>
      <w:marRight w:val="0"/>
      <w:marTop w:val="0"/>
      <w:marBottom w:val="0"/>
      <w:divBdr>
        <w:top w:val="none" w:sz="0" w:space="0" w:color="auto"/>
        <w:left w:val="none" w:sz="0" w:space="0" w:color="auto"/>
        <w:bottom w:val="none" w:sz="0" w:space="0" w:color="auto"/>
        <w:right w:val="none" w:sz="0" w:space="0" w:color="auto"/>
      </w:divBdr>
    </w:div>
    <w:div w:id="666444994">
      <w:bodyDiv w:val="1"/>
      <w:marLeft w:val="0"/>
      <w:marRight w:val="0"/>
      <w:marTop w:val="0"/>
      <w:marBottom w:val="0"/>
      <w:divBdr>
        <w:top w:val="none" w:sz="0" w:space="0" w:color="auto"/>
        <w:left w:val="none" w:sz="0" w:space="0" w:color="auto"/>
        <w:bottom w:val="none" w:sz="0" w:space="0" w:color="auto"/>
        <w:right w:val="none" w:sz="0" w:space="0" w:color="auto"/>
      </w:divBdr>
    </w:div>
    <w:div w:id="667908309">
      <w:bodyDiv w:val="1"/>
      <w:marLeft w:val="0"/>
      <w:marRight w:val="0"/>
      <w:marTop w:val="0"/>
      <w:marBottom w:val="0"/>
      <w:divBdr>
        <w:top w:val="none" w:sz="0" w:space="0" w:color="auto"/>
        <w:left w:val="none" w:sz="0" w:space="0" w:color="auto"/>
        <w:bottom w:val="none" w:sz="0" w:space="0" w:color="auto"/>
        <w:right w:val="none" w:sz="0" w:space="0" w:color="auto"/>
      </w:divBdr>
    </w:div>
    <w:div w:id="668673822">
      <w:bodyDiv w:val="1"/>
      <w:marLeft w:val="0"/>
      <w:marRight w:val="0"/>
      <w:marTop w:val="0"/>
      <w:marBottom w:val="0"/>
      <w:divBdr>
        <w:top w:val="none" w:sz="0" w:space="0" w:color="auto"/>
        <w:left w:val="none" w:sz="0" w:space="0" w:color="auto"/>
        <w:bottom w:val="none" w:sz="0" w:space="0" w:color="auto"/>
        <w:right w:val="none" w:sz="0" w:space="0" w:color="auto"/>
      </w:divBdr>
    </w:div>
    <w:div w:id="679432081">
      <w:bodyDiv w:val="1"/>
      <w:marLeft w:val="0"/>
      <w:marRight w:val="0"/>
      <w:marTop w:val="0"/>
      <w:marBottom w:val="0"/>
      <w:divBdr>
        <w:top w:val="none" w:sz="0" w:space="0" w:color="auto"/>
        <w:left w:val="none" w:sz="0" w:space="0" w:color="auto"/>
        <w:bottom w:val="none" w:sz="0" w:space="0" w:color="auto"/>
        <w:right w:val="none" w:sz="0" w:space="0" w:color="auto"/>
      </w:divBdr>
    </w:div>
    <w:div w:id="688602774">
      <w:bodyDiv w:val="1"/>
      <w:marLeft w:val="0"/>
      <w:marRight w:val="0"/>
      <w:marTop w:val="0"/>
      <w:marBottom w:val="0"/>
      <w:divBdr>
        <w:top w:val="none" w:sz="0" w:space="0" w:color="auto"/>
        <w:left w:val="none" w:sz="0" w:space="0" w:color="auto"/>
        <w:bottom w:val="none" w:sz="0" w:space="0" w:color="auto"/>
        <w:right w:val="none" w:sz="0" w:space="0" w:color="auto"/>
      </w:divBdr>
    </w:div>
    <w:div w:id="697203049">
      <w:bodyDiv w:val="1"/>
      <w:marLeft w:val="0"/>
      <w:marRight w:val="0"/>
      <w:marTop w:val="0"/>
      <w:marBottom w:val="0"/>
      <w:divBdr>
        <w:top w:val="none" w:sz="0" w:space="0" w:color="auto"/>
        <w:left w:val="none" w:sz="0" w:space="0" w:color="auto"/>
        <w:bottom w:val="none" w:sz="0" w:space="0" w:color="auto"/>
        <w:right w:val="none" w:sz="0" w:space="0" w:color="auto"/>
      </w:divBdr>
    </w:div>
    <w:div w:id="700713730">
      <w:bodyDiv w:val="1"/>
      <w:marLeft w:val="0"/>
      <w:marRight w:val="0"/>
      <w:marTop w:val="0"/>
      <w:marBottom w:val="0"/>
      <w:divBdr>
        <w:top w:val="none" w:sz="0" w:space="0" w:color="auto"/>
        <w:left w:val="none" w:sz="0" w:space="0" w:color="auto"/>
        <w:bottom w:val="none" w:sz="0" w:space="0" w:color="auto"/>
        <w:right w:val="none" w:sz="0" w:space="0" w:color="auto"/>
      </w:divBdr>
    </w:div>
    <w:div w:id="706177027">
      <w:bodyDiv w:val="1"/>
      <w:marLeft w:val="0"/>
      <w:marRight w:val="0"/>
      <w:marTop w:val="0"/>
      <w:marBottom w:val="0"/>
      <w:divBdr>
        <w:top w:val="none" w:sz="0" w:space="0" w:color="auto"/>
        <w:left w:val="none" w:sz="0" w:space="0" w:color="auto"/>
        <w:bottom w:val="none" w:sz="0" w:space="0" w:color="auto"/>
        <w:right w:val="none" w:sz="0" w:space="0" w:color="auto"/>
      </w:divBdr>
    </w:div>
    <w:div w:id="710572213">
      <w:bodyDiv w:val="1"/>
      <w:marLeft w:val="0"/>
      <w:marRight w:val="0"/>
      <w:marTop w:val="0"/>
      <w:marBottom w:val="0"/>
      <w:divBdr>
        <w:top w:val="none" w:sz="0" w:space="0" w:color="auto"/>
        <w:left w:val="none" w:sz="0" w:space="0" w:color="auto"/>
        <w:bottom w:val="none" w:sz="0" w:space="0" w:color="auto"/>
        <w:right w:val="none" w:sz="0" w:space="0" w:color="auto"/>
      </w:divBdr>
    </w:div>
    <w:div w:id="711148966">
      <w:bodyDiv w:val="1"/>
      <w:marLeft w:val="0"/>
      <w:marRight w:val="0"/>
      <w:marTop w:val="0"/>
      <w:marBottom w:val="0"/>
      <w:divBdr>
        <w:top w:val="none" w:sz="0" w:space="0" w:color="auto"/>
        <w:left w:val="none" w:sz="0" w:space="0" w:color="auto"/>
        <w:bottom w:val="none" w:sz="0" w:space="0" w:color="auto"/>
        <w:right w:val="none" w:sz="0" w:space="0" w:color="auto"/>
      </w:divBdr>
    </w:div>
    <w:div w:id="711807926">
      <w:bodyDiv w:val="1"/>
      <w:marLeft w:val="0"/>
      <w:marRight w:val="0"/>
      <w:marTop w:val="0"/>
      <w:marBottom w:val="0"/>
      <w:divBdr>
        <w:top w:val="none" w:sz="0" w:space="0" w:color="auto"/>
        <w:left w:val="none" w:sz="0" w:space="0" w:color="auto"/>
        <w:bottom w:val="none" w:sz="0" w:space="0" w:color="auto"/>
        <w:right w:val="none" w:sz="0" w:space="0" w:color="auto"/>
      </w:divBdr>
    </w:div>
    <w:div w:id="717321961">
      <w:bodyDiv w:val="1"/>
      <w:marLeft w:val="0"/>
      <w:marRight w:val="0"/>
      <w:marTop w:val="0"/>
      <w:marBottom w:val="0"/>
      <w:divBdr>
        <w:top w:val="none" w:sz="0" w:space="0" w:color="auto"/>
        <w:left w:val="none" w:sz="0" w:space="0" w:color="auto"/>
        <w:bottom w:val="none" w:sz="0" w:space="0" w:color="auto"/>
        <w:right w:val="none" w:sz="0" w:space="0" w:color="auto"/>
      </w:divBdr>
    </w:div>
    <w:div w:id="724182734">
      <w:bodyDiv w:val="1"/>
      <w:marLeft w:val="0"/>
      <w:marRight w:val="0"/>
      <w:marTop w:val="0"/>
      <w:marBottom w:val="0"/>
      <w:divBdr>
        <w:top w:val="none" w:sz="0" w:space="0" w:color="auto"/>
        <w:left w:val="none" w:sz="0" w:space="0" w:color="auto"/>
        <w:bottom w:val="none" w:sz="0" w:space="0" w:color="auto"/>
        <w:right w:val="none" w:sz="0" w:space="0" w:color="auto"/>
      </w:divBdr>
      <w:divsChild>
        <w:div w:id="560601591">
          <w:marLeft w:val="547"/>
          <w:marRight w:val="0"/>
          <w:marTop w:val="106"/>
          <w:marBottom w:val="0"/>
          <w:divBdr>
            <w:top w:val="none" w:sz="0" w:space="0" w:color="auto"/>
            <w:left w:val="none" w:sz="0" w:space="0" w:color="auto"/>
            <w:bottom w:val="none" w:sz="0" w:space="0" w:color="auto"/>
            <w:right w:val="none" w:sz="0" w:space="0" w:color="auto"/>
          </w:divBdr>
        </w:div>
      </w:divsChild>
    </w:div>
    <w:div w:id="727847057">
      <w:bodyDiv w:val="1"/>
      <w:marLeft w:val="0"/>
      <w:marRight w:val="0"/>
      <w:marTop w:val="0"/>
      <w:marBottom w:val="0"/>
      <w:divBdr>
        <w:top w:val="none" w:sz="0" w:space="0" w:color="auto"/>
        <w:left w:val="none" w:sz="0" w:space="0" w:color="auto"/>
        <w:bottom w:val="none" w:sz="0" w:space="0" w:color="auto"/>
        <w:right w:val="none" w:sz="0" w:space="0" w:color="auto"/>
      </w:divBdr>
    </w:div>
    <w:div w:id="730078408">
      <w:bodyDiv w:val="1"/>
      <w:marLeft w:val="0"/>
      <w:marRight w:val="0"/>
      <w:marTop w:val="0"/>
      <w:marBottom w:val="0"/>
      <w:divBdr>
        <w:top w:val="none" w:sz="0" w:space="0" w:color="auto"/>
        <w:left w:val="none" w:sz="0" w:space="0" w:color="auto"/>
        <w:bottom w:val="none" w:sz="0" w:space="0" w:color="auto"/>
        <w:right w:val="none" w:sz="0" w:space="0" w:color="auto"/>
      </w:divBdr>
    </w:div>
    <w:div w:id="750349556">
      <w:bodyDiv w:val="1"/>
      <w:marLeft w:val="0"/>
      <w:marRight w:val="0"/>
      <w:marTop w:val="0"/>
      <w:marBottom w:val="0"/>
      <w:divBdr>
        <w:top w:val="none" w:sz="0" w:space="0" w:color="auto"/>
        <w:left w:val="none" w:sz="0" w:space="0" w:color="auto"/>
        <w:bottom w:val="none" w:sz="0" w:space="0" w:color="auto"/>
        <w:right w:val="none" w:sz="0" w:space="0" w:color="auto"/>
      </w:divBdr>
    </w:div>
    <w:div w:id="752433954">
      <w:bodyDiv w:val="1"/>
      <w:marLeft w:val="0"/>
      <w:marRight w:val="0"/>
      <w:marTop w:val="0"/>
      <w:marBottom w:val="0"/>
      <w:divBdr>
        <w:top w:val="none" w:sz="0" w:space="0" w:color="auto"/>
        <w:left w:val="none" w:sz="0" w:space="0" w:color="auto"/>
        <w:bottom w:val="none" w:sz="0" w:space="0" w:color="auto"/>
        <w:right w:val="none" w:sz="0" w:space="0" w:color="auto"/>
      </w:divBdr>
    </w:div>
    <w:div w:id="768500378">
      <w:bodyDiv w:val="1"/>
      <w:marLeft w:val="0"/>
      <w:marRight w:val="0"/>
      <w:marTop w:val="0"/>
      <w:marBottom w:val="0"/>
      <w:divBdr>
        <w:top w:val="none" w:sz="0" w:space="0" w:color="auto"/>
        <w:left w:val="none" w:sz="0" w:space="0" w:color="auto"/>
        <w:bottom w:val="none" w:sz="0" w:space="0" w:color="auto"/>
        <w:right w:val="none" w:sz="0" w:space="0" w:color="auto"/>
      </w:divBdr>
    </w:div>
    <w:div w:id="769354939">
      <w:bodyDiv w:val="1"/>
      <w:marLeft w:val="0"/>
      <w:marRight w:val="0"/>
      <w:marTop w:val="0"/>
      <w:marBottom w:val="0"/>
      <w:divBdr>
        <w:top w:val="none" w:sz="0" w:space="0" w:color="auto"/>
        <w:left w:val="none" w:sz="0" w:space="0" w:color="auto"/>
        <w:bottom w:val="none" w:sz="0" w:space="0" w:color="auto"/>
        <w:right w:val="none" w:sz="0" w:space="0" w:color="auto"/>
      </w:divBdr>
    </w:div>
    <w:div w:id="775170678">
      <w:bodyDiv w:val="1"/>
      <w:marLeft w:val="0"/>
      <w:marRight w:val="0"/>
      <w:marTop w:val="0"/>
      <w:marBottom w:val="0"/>
      <w:divBdr>
        <w:top w:val="none" w:sz="0" w:space="0" w:color="auto"/>
        <w:left w:val="none" w:sz="0" w:space="0" w:color="auto"/>
        <w:bottom w:val="none" w:sz="0" w:space="0" w:color="auto"/>
        <w:right w:val="none" w:sz="0" w:space="0" w:color="auto"/>
      </w:divBdr>
    </w:div>
    <w:div w:id="776173496">
      <w:bodyDiv w:val="1"/>
      <w:marLeft w:val="0"/>
      <w:marRight w:val="0"/>
      <w:marTop w:val="0"/>
      <w:marBottom w:val="0"/>
      <w:divBdr>
        <w:top w:val="none" w:sz="0" w:space="0" w:color="auto"/>
        <w:left w:val="none" w:sz="0" w:space="0" w:color="auto"/>
        <w:bottom w:val="none" w:sz="0" w:space="0" w:color="auto"/>
        <w:right w:val="none" w:sz="0" w:space="0" w:color="auto"/>
      </w:divBdr>
    </w:div>
    <w:div w:id="776216884">
      <w:bodyDiv w:val="1"/>
      <w:marLeft w:val="0"/>
      <w:marRight w:val="0"/>
      <w:marTop w:val="0"/>
      <w:marBottom w:val="0"/>
      <w:divBdr>
        <w:top w:val="none" w:sz="0" w:space="0" w:color="auto"/>
        <w:left w:val="none" w:sz="0" w:space="0" w:color="auto"/>
        <w:bottom w:val="none" w:sz="0" w:space="0" w:color="auto"/>
        <w:right w:val="none" w:sz="0" w:space="0" w:color="auto"/>
      </w:divBdr>
      <w:divsChild>
        <w:div w:id="1207597990">
          <w:marLeft w:val="0"/>
          <w:marRight w:val="0"/>
          <w:marTop w:val="0"/>
          <w:marBottom w:val="240"/>
          <w:divBdr>
            <w:top w:val="none" w:sz="0" w:space="0" w:color="auto"/>
            <w:left w:val="none" w:sz="0" w:space="0" w:color="auto"/>
            <w:bottom w:val="none" w:sz="0" w:space="0" w:color="auto"/>
            <w:right w:val="none" w:sz="0" w:space="0" w:color="auto"/>
          </w:divBdr>
        </w:div>
      </w:divsChild>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9448693">
      <w:bodyDiv w:val="1"/>
      <w:marLeft w:val="0"/>
      <w:marRight w:val="0"/>
      <w:marTop w:val="0"/>
      <w:marBottom w:val="0"/>
      <w:divBdr>
        <w:top w:val="none" w:sz="0" w:space="0" w:color="auto"/>
        <w:left w:val="none" w:sz="0" w:space="0" w:color="auto"/>
        <w:bottom w:val="none" w:sz="0" w:space="0" w:color="auto"/>
        <w:right w:val="none" w:sz="0" w:space="0" w:color="auto"/>
      </w:divBdr>
    </w:div>
    <w:div w:id="781654477">
      <w:bodyDiv w:val="1"/>
      <w:marLeft w:val="0"/>
      <w:marRight w:val="0"/>
      <w:marTop w:val="0"/>
      <w:marBottom w:val="0"/>
      <w:divBdr>
        <w:top w:val="none" w:sz="0" w:space="0" w:color="auto"/>
        <w:left w:val="none" w:sz="0" w:space="0" w:color="auto"/>
        <w:bottom w:val="none" w:sz="0" w:space="0" w:color="auto"/>
        <w:right w:val="none" w:sz="0" w:space="0" w:color="auto"/>
      </w:divBdr>
    </w:div>
    <w:div w:id="783571576">
      <w:bodyDiv w:val="1"/>
      <w:marLeft w:val="0"/>
      <w:marRight w:val="0"/>
      <w:marTop w:val="0"/>
      <w:marBottom w:val="0"/>
      <w:divBdr>
        <w:top w:val="none" w:sz="0" w:space="0" w:color="auto"/>
        <w:left w:val="none" w:sz="0" w:space="0" w:color="auto"/>
        <w:bottom w:val="none" w:sz="0" w:space="0" w:color="auto"/>
        <w:right w:val="none" w:sz="0" w:space="0" w:color="auto"/>
      </w:divBdr>
    </w:div>
    <w:div w:id="789475448">
      <w:bodyDiv w:val="1"/>
      <w:marLeft w:val="0"/>
      <w:marRight w:val="0"/>
      <w:marTop w:val="0"/>
      <w:marBottom w:val="0"/>
      <w:divBdr>
        <w:top w:val="none" w:sz="0" w:space="0" w:color="auto"/>
        <w:left w:val="none" w:sz="0" w:space="0" w:color="auto"/>
        <w:bottom w:val="none" w:sz="0" w:space="0" w:color="auto"/>
        <w:right w:val="none" w:sz="0" w:space="0" w:color="auto"/>
      </w:divBdr>
    </w:div>
    <w:div w:id="805704556">
      <w:bodyDiv w:val="1"/>
      <w:marLeft w:val="0"/>
      <w:marRight w:val="0"/>
      <w:marTop w:val="0"/>
      <w:marBottom w:val="0"/>
      <w:divBdr>
        <w:top w:val="none" w:sz="0" w:space="0" w:color="auto"/>
        <w:left w:val="none" w:sz="0" w:space="0" w:color="auto"/>
        <w:bottom w:val="none" w:sz="0" w:space="0" w:color="auto"/>
        <w:right w:val="none" w:sz="0" w:space="0" w:color="auto"/>
      </w:divBdr>
    </w:div>
    <w:div w:id="806047571">
      <w:bodyDiv w:val="1"/>
      <w:marLeft w:val="0"/>
      <w:marRight w:val="0"/>
      <w:marTop w:val="0"/>
      <w:marBottom w:val="0"/>
      <w:divBdr>
        <w:top w:val="none" w:sz="0" w:space="0" w:color="auto"/>
        <w:left w:val="none" w:sz="0" w:space="0" w:color="auto"/>
        <w:bottom w:val="none" w:sz="0" w:space="0" w:color="auto"/>
        <w:right w:val="none" w:sz="0" w:space="0" w:color="auto"/>
      </w:divBdr>
    </w:div>
    <w:div w:id="819081954">
      <w:bodyDiv w:val="1"/>
      <w:marLeft w:val="0"/>
      <w:marRight w:val="0"/>
      <w:marTop w:val="0"/>
      <w:marBottom w:val="0"/>
      <w:divBdr>
        <w:top w:val="none" w:sz="0" w:space="0" w:color="auto"/>
        <w:left w:val="none" w:sz="0" w:space="0" w:color="auto"/>
        <w:bottom w:val="none" w:sz="0" w:space="0" w:color="auto"/>
        <w:right w:val="none" w:sz="0" w:space="0" w:color="auto"/>
      </w:divBdr>
    </w:div>
    <w:div w:id="819150325">
      <w:bodyDiv w:val="1"/>
      <w:marLeft w:val="0"/>
      <w:marRight w:val="0"/>
      <w:marTop w:val="0"/>
      <w:marBottom w:val="0"/>
      <w:divBdr>
        <w:top w:val="none" w:sz="0" w:space="0" w:color="auto"/>
        <w:left w:val="none" w:sz="0" w:space="0" w:color="auto"/>
        <w:bottom w:val="none" w:sz="0" w:space="0" w:color="auto"/>
        <w:right w:val="none" w:sz="0" w:space="0" w:color="auto"/>
      </w:divBdr>
    </w:div>
    <w:div w:id="820804019">
      <w:bodyDiv w:val="1"/>
      <w:marLeft w:val="0"/>
      <w:marRight w:val="0"/>
      <w:marTop w:val="0"/>
      <w:marBottom w:val="0"/>
      <w:divBdr>
        <w:top w:val="none" w:sz="0" w:space="0" w:color="auto"/>
        <w:left w:val="none" w:sz="0" w:space="0" w:color="auto"/>
        <w:bottom w:val="none" w:sz="0" w:space="0" w:color="auto"/>
        <w:right w:val="none" w:sz="0" w:space="0" w:color="auto"/>
      </w:divBdr>
    </w:div>
    <w:div w:id="822699378">
      <w:bodyDiv w:val="1"/>
      <w:marLeft w:val="0"/>
      <w:marRight w:val="0"/>
      <w:marTop w:val="0"/>
      <w:marBottom w:val="0"/>
      <w:divBdr>
        <w:top w:val="none" w:sz="0" w:space="0" w:color="auto"/>
        <w:left w:val="none" w:sz="0" w:space="0" w:color="auto"/>
        <w:bottom w:val="none" w:sz="0" w:space="0" w:color="auto"/>
        <w:right w:val="none" w:sz="0" w:space="0" w:color="auto"/>
      </w:divBdr>
    </w:div>
    <w:div w:id="822967162">
      <w:bodyDiv w:val="1"/>
      <w:marLeft w:val="0"/>
      <w:marRight w:val="0"/>
      <w:marTop w:val="0"/>
      <w:marBottom w:val="0"/>
      <w:divBdr>
        <w:top w:val="none" w:sz="0" w:space="0" w:color="auto"/>
        <w:left w:val="none" w:sz="0" w:space="0" w:color="auto"/>
        <w:bottom w:val="none" w:sz="0" w:space="0" w:color="auto"/>
        <w:right w:val="none" w:sz="0" w:space="0" w:color="auto"/>
      </w:divBdr>
    </w:div>
    <w:div w:id="824277637">
      <w:bodyDiv w:val="1"/>
      <w:marLeft w:val="0"/>
      <w:marRight w:val="0"/>
      <w:marTop w:val="0"/>
      <w:marBottom w:val="0"/>
      <w:divBdr>
        <w:top w:val="none" w:sz="0" w:space="0" w:color="auto"/>
        <w:left w:val="none" w:sz="0" w:space="0" w:color="auto"/>
        <w:bottom w:val="none" w:sz="0" w:space="0" w:color="auto"/>
        <w:right w:val="none" w:sz="0" w:space="0" w:color="auto"/>
      </w:divBdr>
    </w:div>
    <w:div w:id="828251341">
      <w:bodyDiv w:val="1"/>
      <w:marLeft w:val="0"/>
      <w:marRight w:val="0"/>
      <w:marTop w:val="0"/>
      <w:marBottom w:val="0"/>
      <w:divBdr>
        <w:top w:val="none" w:sz="0" w:space="0" w:color="auto"/>
        <w:left w:val="none" w:sz="0" w:space="0" w:color="auto"/>
        <w:bottom w:val="none" w:sz="0" w:space="0" w:color="auto"/>
        <w:right w:val="none" w:sz="0" w:space="0" w:color="auto"/>
      </w:divBdr>
    </w:div>
    <w:div w:id="837892157">
      <w:bodyDiv w:val="1"/>
      <w:marLeft w:val="0"/>
      <w:marRight w:val="0"/>
      <w:marTop w:val="0"/>
      <w:marBottom w:val="0"/>
      <w:divBdr>
        <w:top w:val="none" w:sz="0" w:space="0" w:color="auto"/>
        <w:left w:val="none" w:sz="0" w:space="0" w:color="auto"/>
        <w:bottom w:val="none" w:sz="0" w:space="0" w:color="auto"/>
        <w:right w:val="none" w:sz="0" w:space="0" w:color="auto"/>
      </w:divBdr>
    </w:div>
    <w:div w:id="838620982">
      <w:bodyDiv w:val="1"/>
      <w:marLeft w:val="0"/>
      <w:marRight w:val="0"/>
      <w:marTop w:val="0"/>
      <w:marBottom w:val="0"/>
      <w:divBdr>
        <w:top w:val="none" w:sz="0" w:space="0" w:color="auto"/>
        <w:left w:val="none" w:sz="0" w:space="0" w:color="auto"/>
        <w:bottom w:val="none" w:sz="0" w:space="0" w:color="auto"/>
        <w:right w:val="none" w:sz="0" w:space="0" w:color="auto"/>
      </w:divBdr>
    </w:div>
    <w:div w:id="839388048">
      <w:bodyDiv w:val="1"/>
      <w:marLeft w:val="0"/>
      <w:marRight w:val="0"/>
      <w:marTop w:val="0"/>
      <w:marBottom w:val="0"/>
      <w:divBdr>
        <w:top w:val="none" w:sz="0" w:space="0" w:color="auto"/>
        <w:left w:val="none" w:sz="0" w:space="0" w:color="auto"/>
        <w:bottom w:val="none" w:sz="0" w:space="0" w:color="auto"/>
        <w:right w:val="none" w:sz="0" w:space="0" w:color="auto"/>
      </w:divBdr>
    </w:div>
    <w:div w:id="841623821">
      <w:bodyDiv w:val="1"/>
      <w:marLeft w:val="0"/>
      <w:marRight w:val="0"/>
      <w:marTop w:val="0"/>
      <w:marBottom w:val="0"/>
      <w:divBdr>
        <w:top w:val="none" w:sz="0" w:space="0" w:color="auto"/>
        <w:left w:val="none" w:sz="0" w:space="0" w:color="auto"/>
        <w:bottom w:val="none" w:sz="0" w:space="0" w:color="auto"/>
        <w:right w:val="none" w:sz="0" w:space="0" w:color="auto"/>
      </w:divBdr>
    </w:div>
    <w:div w:id="842164018">
      <w:bodyDiv w:val="1"/>
      <w:marLeft w:val="0"/>
      <w:marRight w:val="0"/>
      <w:marTop w:val="0"/>
      <w:marBottom w:val="0"/>
      <w:divBdr>
        <w:top w:val="none" w:sz="0" w:space="0" w:color="auto"/>
        <w:left w:val="none" w:sz="0" w:space="0" w:color="auto"/>
        <w:bottom w:val="none" w:sz="0" w:space="0" w:color="auto"/>
        <w:right w:val="none" w:sz="0" w:space="0" w:color="auto"/>
      </w:divBdr>
    </w:div>
    <w:div w:id="844903736">
      <w:bodyDiv w:val="1"/>
      <w:marLeft w:val="0"/>
      <w:marRight w:val="0"/>
      <w:marTop w:val="0"/>
      <w:marBottom w:val="0"/>
      <w:divBdr>
        <w:top w:val="none" w:sz="0" w:space="0" w:color="auto"/>
        <w:left w:val="none" w:sz="0" w:space="0" w:color="auto"/>
        <w:bottom w:val="none" w:sz="0" w:space="0" w:color="auto"/>
        <w:right w:val="none" w:sz="0" w:space="0" w:color="auto"/>
      </w:divBdr>
    </w:div>
    <w:div w:id="848065715">
      <w:bodyDiv w:val="1"/>
      <w:marLeft w:val="0"/>
      <w:marRight w:val="0"/>
      <w:marTop w:val="0"/>
      <w:marBottom w:val="0"/>
      <w:divBdr>
        <w:top w:val="none" w:sz="0" w:space="0" w:color="auto"/>
        <w:left w:val="none" w:sz="0" w:space="0" w:color="auto"/>
        <w:bottom w:val="none" w:sz="0" w:space="0" w:color="auto"/>
        <w:right w:val="none" w:sz="0" w:space="0" w:color="auto"/>
      </w:divBdr>
    </w:div>
    <w:div w:id="848444718">
      <w:bodyDiv w:val="1"/>
      <w:marLeft w:val="0"/>
      <w:marRight w:val="0"/>
      <w:marTop w:val="0"/>
      <w:marBottom w:val="0"/>
      <w:divBdr>
        <w:top w:val="none" w:sz="0" w:space="0" w:color="auto"/>
        <w:left w:val="none" w:sz="0" w:space="0" w:color="auto"/>
        <w:bottom w:val="none" w:sz="0" w:space="0" w:color="auto"/>
        <w:right w:val="none" w:sz="0" w:space="0" w:color="auto"/>
      </w:divBdr>
    </w:div>
    <w:div w:id="849484999">
      <w:bodyDiv w:val="1"/>
      <w:marLeft w:val="0"/>
      <w:marRight w:val="0"/>
      <w:marTop w:val="0"/>
      <w:marBottom w:val="0"/>
      <w:divBdr>
        <w:top w:val="none" w:sz="0" w:space="0" w:color="auto"/>
        <w:left w:val="none" w:sz="0" w:space="0" w:color="auto"/>
        <w:bottom w:val="none" w:sz="0" w:space="0" w:color="auto"/>
        <w:right w:val="none" w:sz="0" w:space="0" w:color="auto"/>
      </w:divBdr>
    </w:div>
    <w:div w:id="858355326">
      <w:bodyDiv w:val="1"/>
      <w:marLeft w:val="0"/>
      <w:marRight w:val="0"/>
      <w:marTop w:val="0"/>
      <w:marBottom w:val="0"/>
      <w:divBdr>
        <w:top w:val="none" w:sz="0" w:space="0" w:color="auto"/>
        <w:left w:val="none" w:sz="0" w:space="0" w:color="auto"/>
        <w:bottom w:val="none" w:sz="0" w:space="0" w:color="auto"/>
        <w:right w:val="none" w:sz="0" w:space="0" w:color="auto"/>
      </w:divBdr>
    </w:div>
    <w:div w:id="867912031">
      <w:bodyDiv w:val="1"/>
      <w:marLeft w:val="0"/>
      <w:marRight w:val="0"/>
      <w:marTop w:val="0"/>
      <w:marBottom w:val="0"/>
      <w:divBdr>
        <w:top w:val="none" w:sz="0" w:space="0" w:color="auto"/>
        <w:left w:val="none" w:sz="0" w:space="0" w:color="auto"/>
        <w:bottom w:val="none" w:sz="0" w:space="0" w:color="auto"/>
        <w:right w:val="none" w:sz="0" w:space="0" w:color="auto"/>
      </w:divBdr>
    </w:div>
    <w:div w:id="871187692">
      <w:bodyDiv w:val="1"/>
      <w:marLeft w:val="0"/>
      <w:marRight w:val="0"/>
      <w:marTop w:val="0"/>
      <w:marBottom w:val="0"/>
      <w:divBdr>
        <w:top w:val="none" w:sz="0" w:space="0" w:color="auto"/>
        <w:left w:val="none" w:sz="0" w:space="0" w:color="auto"/>
        <w:bottom w:val="none" w:sz="0" w:space="0" w:color="auto"/>
        <w:right w:val="none" w:sz="0" w:space="0" w:color="auto"/>
      </w:divBdr>
    </w:div>
    <w:div w:id="871919799">
      <w:bodyDiv w:val="1"/>
      <w:marLeft w:val="0"/>
      <w:marRight w:val="0"/>
      <w:marTop w:val="0"/>
      <w:marBottom w:val="0"/>
      <w:divBdr>
        <w:top w:val="none" w:sz="0" w:space="0" w:color="auto"/>
        <w:left w:val="none" w:sz="0" w:space="0" w:color="auto"/>
        <w:bottom w:val="none" w:sz="0" w:space="0" w:color="auto"/>
        <w:right w:val="none" w:sz="0" w:space="0" w:color="auto"/>
      </w:divBdr>
    </w:div>
    <w:div w:id="889224727">
      <w:bodyDiv w:val="1"/>
      <w:marLeft w:val="0"/>
      <w:marRight w:val="0"/>
      <w:marTop w:val="0"/>
      <w:marBottom w:val="0"/>
      <w:divBdr>
        <w:top w:val="none" w:sz="0" w:space="0" w:color="auto"/>
        <w:left w:val="none" w:sz="0" w:space="0" w:color="auto"/>
        <w:bottom w:val="none" w:sz="0" w:space="0" w:color="auto"/>
        <w:right w:val="none" w:sz="0" w:space="0" w:color="auto"/>
      </w:divBdr>
    </w:div>
    <w:div w:id="900403077">
      <w:bodyDiv w:val="1"/>
      <w:marLeft w:val="0"/>
      <w:marRight w:val="0"/>
      <w:marTop w:val="0"/>
      <w:marBottom w:val="0"/>
      <w:divBdr>
        <w:top w:val="none" w:sz="0" w:space="0" w:color="auto"/>
        <w:left w:val="none" w:sz="0" w:space="0" w:color="auto"/>
        <w:bottom w:val="none" w:sz="0" w:space="0" w:color="auto"/>
        <w:right w:val="none" w:sz="0" w:space="0" w:color="auto"/>
      </w:divBdr>
    </w:div>
    <w:div w:id="913508913">
      <w:bodyDiv w:val="1"/>
      <w:marLeft w:val="0"/>
      <w:marRight w:val="0"/>
      <w:marTop w:val="0"/>
      <w:marBottom w:val="0"/>
      <w:divBdr>
        <w:top w:val="none" w:sz="0" w:space="0" w:color="auto"/>
        <w:left w:val="none" w:sz="0" w:space="0" w:color="auto"/>
        <w:bottom w:val="none" w:sz="0" w:space="0" w:color="auto"/>
        <w:right w:val="none" w:sz="0" w:space="0" w:color="auto"/>
      </w:divBdr>
    </w:div>
    <w:div w:id="916280818">
      <w:bodyDiv w:val="1"/>
      <w:marLeft w:val="0"/>
      <w:marRight w:val="0"/>
      <w:marTop w:val="0"/>
      <w:marBottom w:val="0"/>
      <w:divBdr>
        <w:top w:val="none" w:sz="0" w:space="0" w:color="auto"/>
        <w:left w:val="none" w:sz="0" w:space="0" w:color="auto"/>
        <w:bottom w:val="none" w:sz="0" w:space="0" w:color="auto"/>
        <w:right w:val="none" w:sz="0" w:space="0" w:color="auto"/>
      </w:divBdr>
    </w:div>
    <w:div w:id="921061888">
      <w:bodyDiv w:val="1"/>
      <w:marLeft w:val="0"/>
      <w:marRight w:val="0"/>
      <w:marTop w:val="0"/>
      <w:marBottom w:val="0"/>
      <w:divBdr>
        <w:top w:val="none" w:sz="0" w:space="0" w:color="auto"/>
        <w:left w:val="none" w:sz="0" w:space="0" w:color="auto"/>
        <w:bottom w:val="none" w:sz="0" w:space="0" w:color="auto"/>
        <w:right w:val="none" w:sz="0" w:space="0" w:color="auto"/>
      </w:divBdr>
    </w:div>
    <w:div w:id="931935400">
      <w:bodyDiv w:val="1"/>
      <w:marLeft w:val="0"/>
      <w:marRight w:val="0"/>
      <w:marTop w:val="0"/>
      <w:marBottom w:val="0"/>
      <w:divBdr>
        <w:top w:val="none" w:sz="0" w:space="0" w:color="auto"/>
        <w:left w:val="none" w:sz="0" w:space="0" w:color="auto"/>
        <w:bottom w:val="none" w:sz="0" w:space="0" w:color="auto"/>
        <w:right w:val="none" w:sz="0" w:space="0" w:color="auto"/>
      </w:divBdr>
    </w:div>
    <w:div w:id="934291126">
      <w:bodyDiv w:val="1"/>
      <w:marLeft w:val="0"/>
      <w:marRight w:val="0"/>
      <w:marTop w:val="0"/>
      <w:marBottom w:val="0"/>
      <w:divBdr>
        <w:top w:val="none" w:sz="0" w:space="0" w:color="auto"/>
        <w:left w:val="none" w:sz="0" w:space="0" w:color="auto"/>
        <w:bottom w:val="none" w:sz="0" w:space="0" w:color="auto"/>
        <w:right w:val="none" w:sz="0" w:space="0" w:color="auto"/>
      </w:divBdr>
    </w:div>
    <w:div w:id="935333697">
      <w:bodyDiv w:val="1"/>
      <w:marLeft w:val="0"/>
      <w:marRight w:val="0"/>
      <w:marTop w:val="0"/>
      <w:marBottom w:val="0"/>
      <w:divBdr>
        <w:top w:val="none" w:sz="0" w:space="0" w:color="auto"/>
        <w:left w:val="none" w:sz="0" w:space="0" w:color="auto"/>
        <w:bottom w:val="none" w:sz="0" w:space="0" w:color="auto"/>
        <w:right w:val="none" w:sz="0" w:space="0" w:color="auto"/>
      </w:divBdr>
    </w:div>
    <w:div w:id="935483280">
      <w:bodyDiv w:val="1"/>
      <w:marLeft w:val="0"/>
      <w:marRight w:val="0"/>
      <w:marTop w:val="0"/>
      <w:marBottom w:val="0"/>
      <w:divBdr>
        <w:top w:val="none" w:sz="0" w:space="0" w:color="auto"/>
        <w:left w:val="none" w:sz="0" w:space="0" w:color="auto"/>
        <w:bottom w:val="none" w:sz="0" w:space="0" w:color="auto"/>
        <w:right w:val="none" w:sz="0" w:space="0" w:color="auto"/>
      </w:divBdr>
    </w:div>
    <w:div w:id="946157657">
      <w:bodyDiv w:val="1"/>
      <w:marLeft w:val="0"/>
      <w:marRight w:val="0"/>
      <w:marTop w:val="0"/>
      <w:marBottom w:val="0"/>
      <w:divBdr>
        <w:top w:val="none" w:sz="0" w:space="0" w:color="auto"/>
        <w:left w:val="none" w:sz="0" w:space="0" w:color="auto"/>
        <w:bottom w:val="none" w:sz="0" w:space="0" w:color="auto"/>
        <w:right w:val="none" w:sz="0" w:space="0" w:color="auto"/>
      </w:divBdr>
    </w:div>
    <w:div w:id="947661295">
      <w:bodyDiv w:val="1"/>
      <w:marLeft w:val="0"/>
      <w:marRight w:val="0"/>
      <w:marTop w:val="0"/>
      <w:marBottom w:val="0"/>
      <w:divBdr>
        <w:top w:val="none" w:sz="0" w:space="0" w:color="auto"/>
        <w:left w:val="none" w:sz="0" w:space="0" w:color="auto"/>
        <w:bottom w:val="none" w:sz="0" w:space="0" w:color="auto"/>
        <w:right w:val="none" w:sz="0" w:space="0" w:color="auto"/>
      </w:divBdr>
    </w:div>
    <w:div w:id="953705921">
      <w:bodyDiv w:val="1"/>
      <w:marLeft w:val="0"/>
      <w:marRight w:val="0"/>
      <w:marTop w:val="0"/>
      <w:marBottom w:val="0"/>
      <w:divBdr>
        <w:top w:val="none" w:sz="0" w:space="0" w:color="auto"/>
        <w:left w:val="none" w:sz="0" w:space="0" w:color="auto"/>
        <w:bottom w:val="none" w:sz="0" w:space="0" w:color="auto"/>
        <w:right w:val="none" w:sz="0" w:space="0" w:color="auto"/>
      </w:divBdr>
    </w:div>
    <w:div w:id="957027786">
      <w:bodyDiv w:val="1"/>
      <w:marLeft w:val="0"/>
      <w:marRight w:val="0"/>
      <w:marTop w:val="0"/>
      <w:marBottom w:val="0"/>
      <w:divBdr>
        <w:top w:val="none" w:sz="0" w:space="0" w:color="auto"/>
        <w:left w:val="none" w:sz="0" w:space="0" w:color="auto"/>
        <w:bottom w:val="none" w:sz="0" w:space="0" w:color="auto"/>
        <w:right w:val="none" w:sz="0" w:space="0" w:color="auto"/>
      </w:divBdr>
    </w:div>
    <w:div w:id="957679790">
      <w:bodyDiv w:val="1"/>
      <w:marLeft w:val="0"/>
      <w:marRight w:val="0"/>
      <w:marTop w:val="0"/>
      <w:marBottom w:val="0"/>
      <w:divBdr>
        <w:top w:val="none" w:sz="0" w:space="0" w:color="auto"/>
        <w:left w:val="none" w:sz="0" w:space="0" w:color="auto"/>
        <w:bottom w:val="none" w:sz="0" w:space="0" w:color="auto"/>
        <w:right w:val="none" w:sz="0" w:space="0" w:color="auto"/>
      </w:divBdr>
    </w:div>
    <w:div w:id="960384955">
      <w:bodyDiv w:val="1"/>
      <w:marLeft w:val="0"/>
      <w:marRight w:val="0"/>
      <w:marTop w:val="0"/>
      <w:marBottom w:val="0"/>
      <w:divBdr>
        <w:top w:val="none" w:sz="0" w:space="0" w:color="auto"/>
        <w:left w:val="none" w:sz="0" w:space="0" w:color="auto"/>
        <w:bottom w:val="none" w:sz="0" w:space="0" w:color="auto"/>
        <w:right w:val="none" w:sz="0" w:space="0" w:color="auto"/>
      </w:divBdr>
    </w:div>
    <w:div w:id="961611564">
      <w:bodyDiv w:val="1"/>
      <w:marLeft w:val="0"/>
      <w:marRight w:val="0"/>
      <w:marTop w:val="0"/>
      <w:marBottom w:val="0"/>
      <w:divBdr>
        <w:top w:val="none" w:sz="0" w:space="0" w:color="auto"/>
        <w:left w:val="none" w:sz="0" w:space="0" w:color="auto"/>
        <w:bottom w:val="none" w:sz="0" w:space="0" w:color="auto"/>
        <w:right w:val="none" w:sz="0" w:space="0" w:color="auto"/>
      </w:divBdr>
    </w:div>
    <w:div w:id="973556812">
      <w:bodyDiv w:val="1"/>
      <w:marLeft w:val="0"/>
      <w:marRight w:val="0"/>
      <w:marTop w:val="0"/>
      <w:marBottom w:val="0"/>
      <w:divBdr>
        <w:top w:val="none" w:sz="0" w:space="0" w:color="auto"/>
        <w:left w:val="none" w:sz="0" w:space="0" w:color="auto"/>
        <w:bottom w:val="none" w:sz="0" w:space="0" w:color="auto"/>
        <w:right w:val="none" w:sz="0" w:space="0" w:color="auto"/>
      </w:divBdr>
    </w:div>
    <w:div w:id="976377555">
      <w:bodyDiv w:val="1"/>
      <w:marLeft w:val="0"/>
      <w:marRight w:val="0"/>
      <w:marTop w:val="0"/>
      <w:marBottom w:val="0"/>
      <w:divBdr>
        <w:top w:val="none" w:sz="0" w:space="0" w:color="auto"/>
        <w:left w:val="none" w:sz="0" w:space="0" w:color="auto"/>
        <w:bottom w:val="none" w:sz="0" w:space="0" w:color="auto"/>
        <w:right w:val="none" w:sz="0" w:space="0" w:color="auto"/>
      </w:divBdr>
    </w:div>
    <w:div w:id="992370298">
      <w:bodyDiv w:val="1"/>
      <w:marLeft w:val="0"/>
      <w:marRight w:val="0"/>
      <w:marTop w:val="0"/>
      <w:marBottom w:val="0"/>
      <w:divBdr>
        <w:top w:val="none" w:sz="0" w:space="0" w:color="auto"/>
        <w:left w:val="none" w:sz="0" w:space="0" w:color="auto"/>
        <w:bottom w:val="none" w:sz="0" w:space="0" w:color="auto"/>
        <w:right w:val="none" w:sz="0" w:space="0" w:color="auto"/>
      </w:divBdr>
    </w:div>
    <w:div w:id="999386987">
      <w:bodyDiv w:val="1"/>
      <w:marLeft w:val="0"/>
      <w:marRight w:val="0"/>
      <w:marTop w:val="0"/>
      <w:marBottom w:val="0"/>
      <w:divBdr>
        <w:top w:val="none" w:sz="0" w:space="0" w:color="auto"/>
        <w:left w:val="none" w:sz="0" w:space="0" w:color="auto"/>
        <w:bottom w:val="none" w:sz="0" w:space="0" w:color="auto"/>
        <w:right w:val="none" w:sz="0" w:space="0" w:color="auto"/>
      </w:divBdr>
    </w:div>
    <w:div w:id="1001815240">
      <w:bodyDiv w:val="1"/>
      <w:marLeft w:val="0"/>
      <w:marRight w:val="0"/>
      <w:marTop w:val="0"/>
      <w:marBottom w:val="0"/>
      <w:divBdr>
        <w:top w:val="none" w:sz="0" w:space="0" w:color="auto"/>
        <w:left w:val="none" w:sz="0" w:space="0" w:color="auto"/>
        <w:bottom w:val="none" w:sz="0" w:space="0" w:color="auto"/>
        <w:right w:val="none" w:sz="0" w:space="0" w:color="auto"/>
      </w:divBdr>
    </w:div>
    <w:div w:id="1002581968">
      <w:bodyDiv w:val="1"/>
      <w:marLeft w:val="0"/>
      <w:marRight w:val="0"/>
      <w:marTop w:val="0"/>
      <w:marBottom w:val="0"/>
      <w:divBdr>
        <w:top w:val="none" w:sz="0" w:space="0" w:color="auto"/>
        <w:left w:val="none" w:sz="0" w:space="0" w:color="auto"/>
        <w:bottom w:val="none" w:sz="0" w:space="0" w:color="auto"/>
        <w:right w:val="none" w:sz="0" w:space="0" w:color="auto"/>
      </w:divBdr>
    </w:div>
    <w:div w:id="1006639820">
      <w:bodyDiv w:val="1"/>
      <w:marLeft w:val="0"/>
      <w:marRight w:val="0"/>
      <w:marTop w:val="0"/>
      <w:marBottom w:val="0"/>
      <w:divBdr>
        <w:top w:val="none" w:sz="0" w:space="0" w:color="auto"/>
        <w:left w:val="none" w:sz="0" w:space="0" w:color="auto"/>
        <w:bottom w:val="none" w:sz="0" w:space="0" w:color="auto"/>
        <w:right w:val="none" w:sz="0" w:space="0" w:color="auto"/>
      </w:divBdr>
    </w:div>
    <w:div w:id="1015576220">
      <w:bodyDiv w:val="1"/>
      <w:marLeft w:val="0"/>
      <w:marRight w:val="0"/>
      <w:marTop w:val="0"/>
      <w:marBottom w:val="0"/>
      <w:divBdr>
        <w:top w:val="none" w:sz="0" w:space="0" w:color="auto"/>
        <w:left w:val="none" w:sz="0" w:space="0" w:color="auto"/>
        <w:bottom w:val="none" w:sz="0" w:space="0" w:color="auto"/>
        <w:right w:val="none" w:sz="0" w:space="0" w:color="auto"/>
      </w:divBdr>
    </w:div>
    <w:div w:id="1018585876">
      <w:bodyDiv w:val="1"/>
      <w:marLeft w:val="0"/>
      <w:marRight w:val="0"/>
      <w:marTop w:val="0"/>
      <w:marBottom w:val="0"/>
      <w:divBdr>
        <w:top w:val="none" w:sz="0" w:space="0" w:color="auto"/>
        <w:left w:val="none" w:sz="0" w:space="0" w:color="auto"/>
        <w:bottom w:val="none" w:sz="0" w:space="0" w:color="auto"/>
        <w:right w:val="none" w:sz="0" w:space="0" w:color="auto"/>
      </w:divBdr>
    </w:div>
    <w:div w:id="1019551660">
      <w:bodyDiv w:val="1"/>
      <w:marLeft w:val="0"/>
      <w:marRight w:val="0"/>
      <w:marTop w:val="0"/>
      <w:marBottom w:val="0"/>
      <w:divBdr>
        <w:top w:val="none" w:sz="0" w:space="0" w:color="auto"/>
        <w:left w:val="none" w:sz="0" w:space="0" w:color="auto"/>
        <w:bottom w:val="none" w:sz="0" w:space="0" w:color="auto"/>
        <w:right w:val="none" w:sz="0" w:space="0" w:color="auto"/>
      </w:divBdr>
    </w:div>
    <w:div w:id="1031956591">
      <w:bodyDiv w:val="1"/>
      <w:marLeft w:val="0"/>
      <w:marRight w:val="0"/>
      <w:marTop w:val="0"/>
      <w:marBottom w:val="0"/>
      <w:divBdr>
        <w:top w:val="none" w:sz="0" w:space="0" w:color="auto"/>
        <w:left w:val="none" w:sz="0" w:space="0" w:color="auto"/>
        <w:bottom w:val="none" w:sz="0" w:space="0" w:color="auto"/>
        <w:right w:val="none" w:sz="0" w:space="0" w:color="auto"/>
      </w:divBdr>
    </w:div>
    <w:div w:id="1034501500">
      <w:bodyDiv w:val="1"/>
      <w:marLeft w:val="0"/>
      <w:marRight w:val="0"/>
      <w:marTop w:val="0"/>
      <w:marBottom w:val="0"/>
      <w:divBdr>
        <w:top w:val="none" w:sz="0" w:space="0" w:color="auto"/>
        <w:left w:val="none" w:sz="0" w:space="0" w:color="auto"/>
        <w:bottom w:val="none" w:sz="0" w:space="0" w:color="auto"/>
        <w:right w:val="none" w:sz="0" w:space="0" w:color="auto"/>
      </w:divBdr>
    </w:div>
    <w:div w:id="1038240594">
      <w:bodyDiv w:val="1"/>
      <w:marLeft w:val="0"/>
      <w:marRight w:val="0"/>
      <w:marTop w:val="0"/>
      <w:marBottom w:val="0"/>
      <w:divBdr>
        <w:top w:val="none" w:sz="0" w:space="0" w:color="auto"/>
        <w:left w:val="none" w:sz="0" w:space="0" w:color="auto"/>
        <w:bottom w:val="none" w:sz="0" w:space="0" w:color="auto"/>
        <w:right w:val="none" w:sz="0" w:space="0" w:color="auto"/>
      </w:divBdr>
    </w:div>
    <w:div w:id="1041982422">
      <w:bodyDiv w:val="1"/>
      <w:marLeft w:val="0"/>
      <w:marRight w:val="0"/>
      <w:marTop w:val="0"/>
      <w:marBottom w:val="0"/>
      <w:divBdr>
        <w:top w:val="none" w:sz="0" w:space="0" w:color="auto"/>
        <w:left w:val="none" w:sz="0" w:space="0" w:color="auto"/>
        <w:bottom w:val="none" w:sz="0" w:space="0" w:color="auto"/>
        <w:right w:val="none" w:sz="0" w:space="0" w:color="auto"/>
      </w:divBdr>
    </w:div>
    <w:div w:id="1042750529">
      <w:bodyDiv w:val="1"/>
      <w:marLeft w:val="0"/>
      <w:marRight w:val="0"/>
      <w:marTop w:val="0"/>
      <w:marBottom w:val="0"/>
      <w:divBdr>
        <w:top w:val="none" w:sz="0" w:space="0" w:color="auto"/>
        <w:left w:val="none" w:sz="0" w:space="0" w:color="auto"/>
        <w:bottom w:val="none" w:sz="0" w:space="0" w:color="auto"/>
        <w:right w:val="none" w:sz="0" w:space="0" w:color="auto"/>
      </w:divBdr>
    </w:div>
    <w:div w:id="1043485954">
      <w:bodyDiv w:val="1"/>
      <w:marLeft w:val="0"/>
      <w:marRight w:val="0"/>
      <w:marTop w:val="0"/>
      <w:marBottom w:val="0"/>
      <w:divBdr>
        <w:top w:val="none" w:sz="0" w:space="0" w:color="auto"/>
        <w:left w:val="none" w:sz="0" w:space="0" w:color="auto"/>
        <w:bottom w:val="none" w:sz="0" w:space="0" w:color="auto"/>
        <w:right w:val="none" w:sz="0" w:space="0" w:color="auto"/>
      </w:divBdr>
    </w:div>
    <w:div w:id="1045327038">
      <w:bodyDiv w:val="1"/>
      <w:marLeft w:val="0"/>
      <w:marRight w:val="0"/>
      <w:marTop w:val="0"/>
      <w:marBottom w:val="0"/>
      <w:divBdr>
        <w:top w:val="none" w:sz="0" w:space="0" w:color="auto"/>
        <w:left w:val="none" w:sz="0" w:space="0" w:color="auto"/>
        <w:bottom w:val="none" w:sz="0" w:space="0" w:color="auto"/>
        <w:right w:val="none" w:sz="0" w:space="0" w:color="auto"/>
      </w:divBdr>
    </w:div>
    <w:div w:id="1049719170">
      <w:bodyDiv w:val="1"/>
      <w:marLeft w:val="0"/>
      <w:marRight w:val="0"/>
      <w:marTop w:val="0"/>
      <w:marBottom w:val="0"/>
      <w:divBdr>
        <w:top w:val="none" w:sz="0" w:space="0" w:color="auto"/>
        <w:left w:val="none" w:sz="0" w:space="0" w:color="auto"/>
        <w:bottom w:val="none" w:sz="0" w:space="0" w:color="auto"/>
        <w:right w:val="none" w:sz="0" w:space="0" w:color="auto"/>
      </w:divBdr>
    </w:div>
    <w:div w:id="1054545885">
      <w:bodyDiv w:val="1"/>
      <w:marLeft w:val="0"/>
      <w:marRight w:val="0"/>
      <w:marTop w:val="0"/>
      <w:marBottom w:val="0"/>
      <w:divBdr>
        <w:top w:val="none" w:sz="0" w:space="0" w:color="auto"/>
        <w:left w:val="none" w:sz="0" w:space="0" w:color="auto"/>
        <w:bottom w:val="none" w:sz="0" w:space="0" w:color="auto"/>
        <w:right w:val="none" w:sz="0" w:space="0" w:color="auto"/>
      </w:divBdr>
    </w:div>
    <w:div w:id="1057165245">
      <w:bodyDiv w:val="1"/>
      <w:marLeft w:val="0"/>
      <w:marRight w:val="0"/>
      <w:marTop w:val="0"/>
      <w:marBottom w:val="0"/>
      <w:divBdr>
        <w:top w:val="none" w:sz="0" w:space="0" w:color="auto"/>
        <w:left w:val="none" w:sz="0" w:space="0" w:color="auto"/>
        <w:bottom w:val="none" w:sz="0" w:space="0" w:color="auto"/>
        <w:right w:val="none" w:sz="0" w:space="0" w:color="auto"/>
      </w:divBdr>
    </w:div>
    <w:div w:id="1059598072">
      <w:bodyDiv w:val="1"/>
      <w:marLeft w:val="0"/>
      <w:marRight w:val="0"/>
      <w:marTop w:val="0"/>
      <w:marBottom w:val="0"/>
      <w:divBdr>
        <w:top w:val="none" w:sz="0" w:space="0" w:color="auto"/>
        <w:left w:val="none" w:sz="0" w:space="0" w:color="auto"/>
        <w:bottom w:val="none" w:sz="0" w:space="0" w:color="auto"/>
        <w:right w:val="none" w:sz="0" w:space="0" w:color="auto"/>
      </w:divBdr>
    </w:div>
    <w:div w:id="1062756073">
      <w:bodyDiv w:val="1"/>
      <w:marLeft w:val="0"/>
      <w:marRight w:val="0"/>
      <w:marTop w:val="0"/>
      <w:marBottom w:val="0"/>
      <w:divBdr>
        <w:top w:val="none" w:sz="0" w:space="0" w:color="auto"/>
        <w:left w:val="none" w:sz="0" w:space="0" w:color="auto"/>
        <w:bottom w:val="none" w:sz="0" w:space="0" w:color="auto"/>
        <w:right w:val="none" w:sz="0" w:space="0" w:color="auto"/>
      </w:divBdr>
    </w:div>
    <w:div w:id="1068305425">
      <w:bodyDiv w:val="1"/>
      <w:marLeft w:val="0"/>
      <w:marRight w:val="0"/>
      <w:marTop w:val="0"/>
      <w:marBottom w:val="0"/>
      <w:divBdr>
        <w:top w:val="none" w:sz="0" w:space="0" w:color="auto"/>
        <w:left w:val="none" w:sz="0" w:space="0" w:color="auto"/>
        <w:bottom w:val="none" w:sz="0" w:space="0" w:color="auto"/>
        <w:right w:val="none" w:sz="0" w:space="0" w:color="auto"/>
      </w:divBdr>
    </w:div>
    <w:div w:id="1069503099">
      <w:bodyDiv w:val="1"/>
      <w:marLeft w:val="0"/>
      <w:marRight w:val="0"/>
      <w:marTop w:val="0"/>
      <w:marBottom w:val="0"/>
      <w:divBdr>
        <w:top w:val="none" w:sz="0" w:space="0" w:color="auto"/>
        <w:left w:val="none" w:sz="0" w:space="0" w:color="auto"/>
        <w:bottom w:val="none" w:sz="0" w:space="0" w:color="auto"/>
        <w:right w:val="none" w:sz="0" w:space="0" w:color="auto"/>
      </w:divBdr>
    </w:div>
    <w:div w:id="1076392275">
      <w:bodyDiv w:val="1"/>
      <w:marLeft w:val="0"/>
      <w:marRight w:val="0"/>
      <w:marTop w:val="0"/>
      <w:marBottom w:val="0"/>
      <w:divBdr>
        <w:top w:val="none" w:sz="0" w:space="0" w:color="auto"/>
        <w:left w:val="none" w:sz="0" w:space="0" w:color="auto"/>
        <w:bottom w:val="none" w:sz="0" w:space="0" w:color="auto"/>
        <w:right w:val="none" w:sz="0" w:space="0" w:color="auto"/>
      </w:divBdr>
    </w:div>
    <w:div w:id="1083183929">
      <w:bodyDiv w:val="1"/>
      <w:marLeft w:val="0"/>
      <w:marRight w:val="0"/>
      <w:marTop w:val="0"/>
      <w:marBottom w:val="0"/>
      <w:divBdr>
        <w:top w:val="none" w:sz="0" w:space="0" w:color="auto"/>
        <w:left w:val="none" w:sz="0" w:space="0" w:color="auto"/>
        <w:bottom w:val="none" w:sz="0" w:space="0" w:color="auto"/>
        <w:right w:val="none" w:sz="0" w:space="0" w:color="auto"/>
      </w:divBdr>
    </w:div>
    <w:div w:id="1098409011">
      <w:bodyDiv w:val="1"/>
      <w:marLeft w:val="0"/>
      <w:marRight w:val="0"/>
      <w:marTop w:val="0"/>
      <w:marBottom w:val="0"/>
      <w:divBdr>
        <w:top w:val="none" w:sz="0" w:space="0" w:color="auto"/>
        <w:left w:val="none" w:sz="0" w:space="0" w:color="auto"/>
        <w:bottom w:val="none" w:sz="0" w:space="0" w:color="auto"/>
        <w:right w:val="none" w:sz="0" w:space="0" w:color="auto"/>
      </w:divBdr>
    </w:div>
    <w:div w:id="1101224675">
      <w:bodyDiv w:val="1"/>
      <w:marLeft w:val="0"/>
      <w:marRight w:val="0"/>
      <w:marTop w:val="0"/>
      <w:marBottom w:val="0"/>
      <w:divBdr>
        <w:top w:val="none" w:sz="0" w:space="0" w:color="auto"/>
        <w:left w:val="none" w:sz="0" w:space="0" w:color="auto"/>
        <w:bottom w:val="none" w:sz="0" w:space="0" w:color="auto"/>
        <w:right w:val="none" w:sz="0" w:space="0" w:color="auto"/>
      </w:divBdr>
    </w:div>
    <w:div w:id="1108544657">
      <w:bodyDiv w:val="1"/>
      <w:marLeft w:val="0"/>
      <w:marRight w:val="0"/>
      <w:marTop w:val="0"/>
      <w:marBottom w:val="0"/>
      <w:divBdr>
        <w:top w:val="none" w:sz="0" w:space="0" w:color="auto"/>
        <w:left w:val="none" w:sz="0" w:space="0" w:color="auto"/>
        <w:bottom w:val="none" w:sz="0" w:space="0" w:color="auto"/>
        <w:right w:val="none" w:sz="0" w:space="0" w:color="auto"/>
      </w:divBdr>
    </w:div>
    <w:div w:id="1115171817">
      <w:bodyDiv w:val="1"/>
      <w:marLeft w:val="0"/>
      <w:marRight w:val="0"/>
      <w:marTop w:val="0"/>
      <w:marBottom w:val="0"/>
      <w:divBdr>
        <w:top w:val="none" w:sz="0" w:space="0" w:color="auto"/>
        <w:left w:val="none" w:sz="0" w:space="0" w:color="auto"/>
        <w:bottom w:val="none" w:sz="0" w:space="0" w:color="auto"/>
        <w:right w:val="none" w:sz="0" w:space="0" w:color="auto"/>
      </w:divBdr>
    </w:div>
    <w:div w:id="1132408341">
      <w:bodyDiv w:val="1"/>
      <w:marLeft w:val="0"/>
      <w:marRight w:val="0"/>
      <w:marTop w:val="0"/>
      <w:marBottom w:val="0"/>
      <w:divBdr>
        <w:top w:val="none" w:sz="0" w:space="0" w:color="auto"/>
        <w:left w:val="none" w:sz="0" w:space="0" w:color="auto"/>
        <w:bottom w:val="none" w:sz="0" w:space="0" w:color="auto"/>
        <w:right w:val="none" w:sz="0" w:space="0" w:color="auto"/>
      </w:divBdr>
    </w:div>
    <w:div w:id="1139108057">
      <w:bodyDiv w:val="1"/>
      <w:marLeft w:val="0"/>
      <w:marRight w:val="0"/>
      <w:marTop w:val="0"/>
      <w:marBottom w:val="0"/>
      <w:divBdr>
        <w:top w:val="none" w:sz="0" w:space="0" w:color="auto"/>
        <w:left w:val="none" w:sz="0" w:space="0" w:color="auto"/>
        <w:bottom w:val="none" w:sz="0" w:space="0" w:color="auto"/>
        <w:right w:val="none" w:sz="0" w:space="0" w:color="auto"/>
      </w:divBdr>
    </w:div>
    <w:div w:id="1141995950">
      <w:bodyDiv w:val="1"/>
      <w:marLeft w:val="0"/>
      <w:marRight w:val="0"/>
      <w:marTop w:val="0"/>
      <w:marBottom w:val="0"/>
      <w:divBdr>
        <w:top w:val="none" w:sz="0" w:space="0" w:color="auto"/>
        <w:left w:val="none" w:sz="0" w:space="0" w:color="auto"/>
        <w:bottom w:val="none" w:sz="0" w:space="0" w:color="auto"/>
        <w:right w:val="none" w:sz="0" w:space="0" w:color="auto"/>
      </w:divBdr>
    </w:div>
    <w:div w:id="1143818147">
      <w:bodyDiv w:val="1"/>
      <w:marLeft w:val="0"/>
      <w:marRight w:val="0"/>
      <w:marTop w:val="0"/>
      <w:marBottom w:val="0"/>
      <w:divBdr>
        <w:top w:val="none" w:sz="0" w:space="0" w:color="auto"/>
        <w:left w:val="none" w:sz="0" w:space="0" w:color="auto"/>
        <w:bottom w:val="none" w:sz="0" w:space="0" w:color="auto"/>
        <w:right w:val="none" w:sz="0" w:space="0" w:color="auto"/>
      </w:divBdr>
    </w:div>
    <w:div w:id="1146623496">
      <w:bodyDiv w:val="1"/>
      <w:marLeft w:val="0"/>
      <w:marRight w:val="0"/>
      <w:marTop w:val="0"/>
      <w:marBottom w:val="0"/>
      <w:divBdr>
        <w:top w:val="none" w:sz="0" w:space="0" w:color="auto"/>
        <w:left w:val="none" w:sz="0" w:space="0" w:color="auto"/>
        <w:bottom w:val="none" w:sz="0" w:space="0" w:color="auto"/>
        <w:right w:val="none" w:sz="0" w:space="0" w:color="auto"/>
      </w:divBdr>
    </w:div>
    <w:div w:id="1146775137">
      <w:bodyDiv w:val="1"/>
      <w:marLeft w:val="0"/>
      <w:marRight w:val="0"/>
      <w:marTop w:val="0"/>
      <w:marBottom w:val="0"/>
      <w:divBdr>
        <w:top w:val="none" w:sz="0" w:space="0" w:color="auto"/>
        <w:left w:val="none" w:sz="0" w:space="0" w:color="auto"/>
        <w:bottom w:val="none" w:sz="0" w:space="0" w:color="auto"/>
        <w:right w:val="none" w:sz="0" w:space="0" w:color="auto"/>
      </w:divBdr>
    </w:div>
    <w:div w:id="1159425400">
      <w:bodyDiv w:val="1"/>
      <w:marLeft w:val="0"/>
      <w:marRight w:val="0"/>
      <w:marTop w:val="0"/>
      <w:marBottom w:val="0"/>
      <w:divBdr>
        <w:top w:val="none" w:sz="0" w:space="0" w:color="auto"/>
        <w:left w:val="none" w:sz="0" w:space="0" w:color="auto"/>
        <w:bottom w:val="none" w:sz="0" w:space="0" w:color="auto"/>
        <w:right w:val="none" w:sz="0" w:space="0" w:color="auto"/>
      </w:divBdr>
    </w:div>
    <w:div w:id="1163665689">
      <w:bodyDiv w:val="1"/>
      <w:marLeft w:val="0"/>
      <w:marRight w:val="0"/>
      <w:marTop w:val="0"/>
      <w:marBottom w:val="0"/>
      <w:divBdr>
        <w:top w:val="none" w:sz="0" w:space="0" w:color="auto"/>
        <w:left w:val="none" w:sz="0" w:space="0" w:color="auto"/>
        <w:bottom w:val="none" w:sz="0" w:space="0" w:color="auto"/>
        <w:right w:val="none" w:sz="0" w:space="0" w:color="auto"/>
      </w:divBdr>
    </w:div>
    <w:div w:id="1164665787">
      <w:bodyDiv w:val="1"/>
      <w:marLeft w:val="0"/>
      <w:marRight w:val="0"/>
      <w:marTop w:val="0"/>
      <w:marBottom w:val="0"/>
      <w:divBdr>
        <w:top w:val="none" w:sz="0" w:space="0" w:color="auto"/>
        <w:left w:val="none" w:sz="0" w:space="0" w:color="auto"/>
        <w:bottom w:val="none" w:sz="0" w:space="0" w:color="auto"/>
        <w:right w:val="none" w:sz="0" w:space="0" w:color="auto"/>
      </w:divBdr>
    </w:div>
    <w:div w:id="1183204867">
      <w:bodyDiv w:val="1"/>
      <w:marLeft w:val="0"/>
      <w:marRight w:val="0"/>
      <w:marTop w:val="0"/>
      <w:marBottom w:val="0"/>
      <w:divBdr>
        <w:top w:val="none" w:sz="0" w:space="0" w:color="auto"/>
        <w:left w:val="none" w:sz="0" w:space="0" w:color="auto"/>
        <w:bottom w:val="none" w:sz="0" w:space="0" w:color="auto"/>
        <w:right w:val="none" w:sz="0" w:space="0" w:color="auto"/>
      </w:divBdr>
    </w:div>
    <w:div w:id="1183400996">
      <w:bodyDiv w:val="1"/>
      <w:marLeft w:val="0"/>
      <w:marRight w:val="0"/>
      <w:marTop w:val="0"/>
      <w:marBottom w:val="0"/>
      <w:divBdr>
        <w:top w:val="none" w:sz="0" w:space="0" w:color="auto"/>
        <w:left w:val="none" w:sz="0" w:space="0" w:color="auto"/>
        <w:bottom w:val="none" w:sz="0" w:space="0" w:color="auto"/>
        <w:right w:val="none" w:sz="0" w:space="0" w:color="auto"/>
      </w:divBdr>
    </w:div>
    <w:div w:id="1187400620">
      <w:bodyDiv w:val="1"/>
      <w:marLeft w:val="0"/>
      <w:marRight w:val="0"/>
      <w:marTop w:val="0"/>
      <w:marBottom w:val="0"/>
      <w:divBdr>
        <w:top w:val="none" w:sz="0" w:space="0" w:color="auto"/>
        <w:left w:val="none" w:sz="0" w:space="0" w:color="auto"/>
        <w:bottom w:val="none" w:sz="0" w:space="0" w:color="auto"/>
        <w:right w:val="none" w:sz="0" w:space="0" w:color="auto"/>
      </w:divBdr>
    </w:div>
    <w:div w:id="1192645707">
      <w:bodyDiv w:val="1"/>
      <w:marLeft w:val="0"/>
      <w:marRight w:val="0"/>
      <w:marTop w:val="0"/>
      <w:marBottom w:val="0"/>
      <w:divBdr>
        <w:top w:val="none" w:sz="0" w:space="0" w:color="auto"/>
        <w:left w:val="none" w:sz="0" w:space="0" w:color="auto"/>
        <w:bottom w:val="none" w:sz="0" w:space="0" w:color="auto"/>
        <w:right w:val="none" w:sz="0" w:space="0" w:color="auto"/>
      </w:divBdr>
    </w:div>
    <w:div w:id="1192765998">
      <w:bodyDiv w:val="1"/>
      <w:marLeft w:val="0"/>
      <w:marRight w:val="0"/>
      <w:marTop w:val="0"/>
      <w:marBottom w:val="0"/>
      <w:divBdr>
        <w:top w:val="none" w:sz="0" w:space="0" w:color="auto"/>
        <w:left w:val="none" w:sz="0" w:space="0" w:color="auto"/>
        <w:bottom w:val="none" w:sz="0" w:space="0" w:color="auto"/>
        <w:right w:val="none" w:sz="0" w:space="0" w:color="auto"/>
      </w:divBdr>
    </w:div>
    <w:div w:id="1199271048">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26376476">
      <w:bodyDiv w:val="1"/>
      <w:marLeft w:val="0"/>
      <w:marRight w:val="0"/>
      <w:marTop w:val="0"/>
      <w:marBottom w:val="0"/>
      <w:divBdr>
        <w:top w:val="none" w:sz="0" w:space="0" w:color="auto"/>
        <w:left w:val="none" w:sz="0" w:space="0" w:color="auto"/>
        <w:bottom w:val="none" w:sz="0" w:space="0" w:color="auto"/>
        <w:right w:val="none" w:sz="0" w:space="0" w:color="auto"/>
      </w:divBdr>
    </w:div>
    <w:div w:id="1231572527">
      <w:bodyDiv w:val="1"/>
      <w:marLeft w:val="0"/>
      <w:marRight w:val="0"/>
      <w:marTop w:val="0"/>
      <w:marBottom w:val="0"/>
      <w:divBdr>
        <w:top w:val="none" w:sz="0" w:space="0" w:color="auto"/>
        <w:left w:val="none" w:sz="0" w:space="0" w:color="auto"/>
        <w:bottom w:val="none" w:sz="0" w:space="0" w:color="auto"/>
        <w:right w:val="none" w:sz="0" w:space="0" w:color="auto"/>
      </w:divBdr>
    </w:div>
    <w:div w:id="1234781330">
      <w:bodyDiv w:val="1"/>
      <w:marLeft w:val="0"/>
      <w:marRight w:val="0"/>
      <w:marTop w:val="0"/>
      <w:marBottom w:val="0"/>
      <w:divBdr>
        <w:top w:val="none" w:sz="0" w:space="0" w:color="auto"/>
        <w:left w:val="none" w:sz="0" w:space="0" w:color="auto"/>
        <w:bottom w:val="none" w:sz="0" w:space="0" w:color="auto"/>
        <w:right w:val="none" w:sz="0" w:space="0" w:color="auto"/>
      </w:divBdr>
    </w:div>
    <w:div w:id="1242252347">
      <w:bodyDiv w:val="1"/>
      <w:marLeft w:val="0"/>
      <w:marRight w:val="0"/>
      <w:marTop w:val="0"/>
      <w:marBottom w:val="0"/>
      <w:divBdr>
        <w:top w:val="none" w:sz="0" w:space="0" w:color="auto"/>
        <w:left w:val="none" w:sz="0" w:space="0" w:color="auto"/>
        <w:bottom w:val="none" w:sz="0" w:space="0" w:color="auto"/>
        <w:right w:val="none" w:sz="0" w:space="0" w:color="auto"/>
      </w:divBdr>
    </w:div>
    <w:div w:id="1250120754">
      <w:bodyDiv w:val="1"/>
      <w:marLeft w:val="0"/>
      <w:marRight w:val="0"/>
      <w:marTop w:val="0"/>
      <w:marBottom w:val="0"/>
      <w:divBdr>
        <w:top w:val="none" w:sz="0" w:space="0" w:color="auto"/>
        <w:left w:val="none" w:sz="0" w:space="0" w:color="auto"/>
        <w:bottom w:val="none" w:sz="0" w:space="0" w:color="auto"/>
        <w:right w:val="none" w:sz="0" w:space="0" w:color="auto"/>
      </w:divBdr>
    </w:div>
    <w:div w:id="1260531115">
      <w:bodyDiv w:val="1"/>
      <w:marLeft w:val="0"/>
      <w:marRight w:val="0"/>
      <w:marTop w:val="0"/>
      <w:marBottom w:val="0"/>
      <w:divBdr>
        <w:top w:val="none" w:sz="0" w:space="0" w:color="auto"/>
        <w:left w:val="none" w:sz="0" w:space="0" w:color="auto"/>
        <w:bottom w:val="none" w:sz="0" w:space="0" w:color="auto"/>
        <w:right w:val="none" w:sz="0" w:space="0" w:color="auto"/>
      </w:divBdr>
    </w:div>
    <w:div w:id="1264994768">
      <w:bodyDiv w:val="1"/>
      <w:marLeft w:val="0"/>
      <w:marRight w:val="0"/>
      <w:marTop w:val="0"/>
      <w:marBottom w:val="0"/>
      <w:divBdr>
        <w:top w:val="none" w:sz="0" w:space="0" w:color="auto"/>
        <w:left w:val="none" w:sz="0" w:space="0" w:color="auto"/>
        <w:bottom w:val="none" w:sz="0" w:space="0" w:color="auto"/>
        <w:right w:val="none" w:sz="0" w:space="0" w:color="auto"/>
      </w:divBdr>
    </w:div>
    <w:div w:id="1274898903">
      <w:bodyDiv w:val="1"/>
      <w:marLeft w:val="0"/>
      <w:marRight w:val="0"/>
      <w:marTop w:val="0"/>
      <w:marBottom w:val="0"/>
      <w:divBdr>
        <w:top w:val="none" w:sz="0" w:space="0" w:color="auto"/>
        <w:left w:val="none" w:sz="0" w:space="0" w:color="auto"/>
        <w:bottom w:val="none" w:sz="0" w:space="0" w:color="auto"/>
        <w:right w:val="none" w:sz="0" w:space="0" w:color="auto"/>
      </w:divBdr>
    </w:div>
    <w:div w:id="1277833610">
      <w:bodyDiv w:val="1"/>
      <w:marLeft w:val="0"/>
      <w:marRight w:val="0"/>
      <w:marTop w:val="0"/>
      <w:marBottom w:val="0"/>
      <w:divBdr>
        <w:top w:val="none" w:sz="0" w:space="0" w:color="auto"/>
        <w:left w:val="none" w:sz="0" w:space="0" w:color="auto"/>
        <w:bottom w:val="none" w:sz="0" w:space="0" w:color="auto"/>
        <w:right w:val="none" w:sz="0" w:space="0" w:color="auto"/>
      </w:divBdr>
    </w:div>
    <w:div w:id="1285189030">
      <w:bodyDiv w:val="1"/>
      <w:marLeft w:val="0"/>
      <w:marRight w:val="0"/>
      <w:marTop w:val="0"/>
      <w:marBottom w:val="0"/>
      <w:divBdr>
        <w:top w:val="none" w:sz="0" w:space="0" w:color="auto"/>
        <w:left w:val="none" w:sz="0" w:space="0" w:color="auto"/>
        <w:bottom w:val="none" w:sz="0" w:space="0" w:color="auto"/>
        <w:right w:val="none" w:sz="0" w:space="0" w:color="auto"/>
      </w:divBdr>
    </w:div>
    <w:div w:id="1296137893">
      <w:bodyDiv w:val="1"/>
      <w:marLeft w:val="0"/>
      <w:marRight w:val="0"/>
      <w:marTop w:val="0"/>
      <w:marBottom w:val="0"/>
      <w:divBdr>
        <w:top w:val="none" w:sz="0" w:space="0" w:color="auto"/>
        <w:left w:val="none" w:sz="0" w:space="0" w:color="auto"/>
        <w:bottom w:val="none" w:sz="0" w:space="0" w:color="auto"/>
        <w:right w:val="none" w:sz="0" w:space="0" w:color="auto"/>
      </w:divBdr>
      <w:divsChild>
        <w:div w:id="1835074392">
          <w:marLeft w:val="0"/>
          <w:marRight w:val="0"/>
          <w:marTop w:val="0"/>
          <w:marBottom w:val="0"/>
          <w:divBdr>
            <w:top w:val="none" w:sz="0" w:space="0" w:color="auto"/>
            <w:left w:val="none" w:sz="0" w:space="0" w:color="auto"/>
            <w:bottom w:val="none" w:sz="0" w:space="0" w:color="auto"/>
            <w:right w:val="none" w:sz="0" w:space="0" w:color="auto"/>
          </w:divBdr>
          <w:divsChild>
            <w:div w:id="115298536">
              <w:marLeft w:val="0"/>
              <w:marRight w:val="0"/>
              <w:marTop w:val="0"/>
              <w:marBottom w:val="0"/>
              <w:divBdr>
                <w:top w:val="none" w:sz="0" w:space="0" w:color="auto"/>
                <w:left w:val="none" w:sz="0" w:space="0" w:color="auto"/>
                <w:bottom w:val="none" w:sz="0" w:space="0" w:color="auto"/>
                <w:right w:val="none" w:sz="0" w:space="0" w:color="auto"/>
              </w:divBdr>
              <w:divsChild>
                <w:div w:id="692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516">
      <w:bodyDiv w:val="1"/>
      <w:marLeft w:val="0"/>
      <w:marRight w:val="0"/>
      <w:marTop w:val="0"/>
      <w:marBottom w:val="0"/>
      <w:divBdr>
        <w:top w:val="none" w:sz="0" w:space="0" w:color="auto"/>
        <w:left w:val="none" w:sz="0" w:space="0" w:color="auto"/>
        <w:bottom w:val="none" w:sz="0" w:space="0" w:color="auto"/>
        <w:right w:val="none" w:sz="0" w:space="0" w:color="auto"/>
      </w:divBdr>
    </w:div>
    <w:div w:id="1300040272">
      <w:bodyDiv w:val="1"/>
      <w:marLeft w:val="0"/>
      <w:marRight w:val="0"/>
      <w:marTop w:val="0"/>
      <w:marBottom w:val="0"/>
      <w:divBdr>
        <w:top w:val="none" w:sz="0" w:space="0" w:color="auto"/>
        <w:left w:val="none" w:sz="0" w:space="0" w:color="auto"/>
        <w:bottom w:val="none" w:sz="0" w:space="0" w:color="auto"/>
        <w:right w:val="none" w:sz="0" w:space="0" w:color="auto"/>
      </w:divBdr>
    </w:div>
    <w:div w:id="1301114147">
      <w:bodyDiv w:val="1"/>
      <w:marLeft w:val="0"/>
      <w:marRight w:val="0"/>
      <w:marTop w:val="0"/>
      <w:marBottom w:val="0"/>
      <w:divBdr>
        <w:top w:val="none" w:sz="0" w:space="0" w:color="auto"/>
        <w:left w:val="none" w:sz="0" w:space="0" w:color="auto"/>
        <w:bottom w:val="none" w:sz="0" w:space="0" w:color="auto"/>
        <w:right w:val="none" w:sz="0" w:space="0" w:color="auto"/>
      </w:divBdr>
    </w:div>
    <w:div w:id="1301501657">
      <w:bodyDiv w:val="1"/>
      <w:marLeft w:val="0"/>
      <w:marRight w:val="0"/>
      <w:marTop w:val="0"/>
      <w:marBottom w:val="0"/>
      <w:divBdr>
        <w:top w:val="none" w:sz="0" w:space="0" w:color="auto"/>
        <w:left w:val="none" w:sz="0" w:space="0" w:color="auto"/>
        <w:bottom w:val="none" w:sz="0" w:space="0" w:color="auto"/>
        <w:right w:val="none" w:sz="0" w:space="0" w:color="auto"/>
      </w:divBdr>
    </w:div>
    <w:div w:id="1303732674">
      <w:bodyDiv w:val="1"/>
      <w:marLeft w:val="0"/>
      <w:marRight w:val="0"/>
      <w:marTop w:val="0"/>
      <w:marBottom w:val="0"/>
      <w:divBdr>
        <w:top w:val="none" w:sz="0" w:space="0" w:color="auto"/>
        <w:left w:val="none" w:sz="0" w:space="0" w:color="auto"/>
        <w:bottom w:val="none" w:sz="0" w:space="0" w:color="auto"/>
        <w:right w:val="none" w:sz="0" w:space="0" w:color="auto"/>
      </w:divBdr>
    </w:div>
    <w:div w:id="1303849491">
      <w:bodyDiv w:val="1"/>
      <w:marLeft w:val="0"/>
      <w:marRight w:val="0"/>
      <w:marTop w:val="0"/>
      <w:marBottom w:val="0"/>
      <w:divBdr>
        <w:top w:val="none" w:sz="0" w:space="0" w:color="auto"/>
        <w:left w:val="none" w:sz="0" w:space="0" w:color="auto"/>
        <w:bottom w:val="none" w:sz="0" w:space="0" w:color="auto"/>
        <w:right w:val="none" w:sz="0" w:space="0" w:color="auto"/>
      </w:divBdr>
    </w:div>
    <w:div w:id="1312715097">
      <w:bodyDiv w:val="1"/>
      <w:marLeft w:val="0"/>
      <w:marRight w:val="0"/>
      <w:marTop w:val="0"/>
      <w:marBottom w:val="0"/>
      <w:divBdr>
        <w:top w:val="none" w:sz="0" w:space="0" w:color="auto"/>
        <w:left w:val="none" w:sz="0" w:space="0" w:color="auto"/>
        <w:bottom w:val="none" w:sz="0" w:space="0" w:color="auto"/>
        <w:right w:val="none" w:sz="0" w:space="0" w:color="auto"/>
      </w:divBdr>
    </w:div>
    <w:div w:id="1317610252">
      <w:bodyDiv w:val="1"/>
      <w:marLeft w:val="0"/>
      <w:marRight w:val="0"/>
      <w:marTop w:val="0"/>
      <w:marBottom w:val="0"/>
      <w:divBdr>
        <w:top w:val="none" w:sz="0" w:space="0" w:color="auto"/>
        <w:left w:val="none" w:sz="0" w:space="0" w:color="auto"/>
        <w:bottom w:val="none" w:sz="0" w:space="0" w:color="auto"/>
        <w:right w:val="none" w:sz="0" w:space="0" w:color="auto"/>
      </w:divBdr>
    </w:div>
    <w:div w:id="1330906010">
      <w:bodyDiv w:val="1"/>
      <w:marLeft w:val="0"/>
      <w:marRight w:val="0"/>
      <w:marTop w:val="0"/>
      <w:marBottom w:val="0"/>
      <w:divBdr>
        <w:top w:val="none" w:sz="0" w:space="0" w:color="auto"/>
        <w:left w:val="none" w:sz="0" w:space="0" w:color="auto"/>
        <w:bottom w:val="none" w:sz="0" w:space="0" w:color="auto"/>
        <w:right w:val="none" w:sz="0" w:space="0" w:color="auto"/>
      </w:divBdr>
    </w:div>
    <w:div w:id="1339623471">
      <w:bodyDiv w:val="1"/>
      <w:marLeft w:val="0"/>
      <w:marRight w:val="0"/>
      <w:marTop w:val="0"/>
      <w:marBottom w:val="0"/>
      <w:divBdr>
        <w:top w:val="none" w:sz="0" w:space="0" w:color="auto"/>
        <w:left w:val="none" w:sz="0" w:space="0" w:color="auto"/>
        <w:bottom w:val="none" w:sz="0" w:space="0" w:color="auto"/>
        <w:right w:val="none" w:sz="0" w:space="0" w:color="auto"/>
      </w:divBdr>
    </w:div>
    <w:div w:id="1349211726">
      <w:bodyDiv w:val="1"/>
      <w:marLeft w:val="0"/>
      <w:marRight w:val="0"/>
      <w:marTop w:val="0"/>
      <w:marBottom w:val="0"/>
      <w:divBdr>
        <w:top w:val="none" w:sz="0" w:space="0" w:color="auto"/>
        <w:left w:val="none" w:sz="0" w:space="0" w:color="auto"/>
        <w:bottom w:val="none" w:sz="0" w:space="0" w:color="auto"/>
        <w:right w:val="none" w:sz="0" w:space="0" w:color="auto"/>
      </w:divBdr>
    </w:div>
    <w:div w:id="1351106242">
      <w:bodyDiv w:val="1"/>
      <w:marLeft w:val="0"/>
      <w:marRight w:val="0"/>
      <w:marTop w:val="0"/>
      <w:marBottom w:val="0"/>
      <w:divBdr>
        <w:top w:val="none" w:sz="0" w:space="0" w:color="auto"/>
        <w:left w:val="none" w:sz="0" w:space="0" w:color="auto"/>
        <w:bottom w:val="none" w:sz="0" w:space="0" w:color="auto"/>
        <w:right w:val="none" w:sz="0" w:space="0" w:color="auto"/>
      </w:divBdr>
    </w:div>
    <w:div w:id="1361129855">
      <w:bodyDiv w:val="1"/>
      <w:marLeft w:val="0"/>
      <w:marRight w:val="0"/>
      <w:marTop w:val="0"/>
      <w:marBottom w:val="0"/>
      <w:divBdr>
        <w:top w:val="none" w:sz="0" w:space="0" w:color="auto"/>
        <w:left w:val="none" w:sz="0" w:space="0" w:color="auto"/>
        <w:bottom w:val="none" w:sz="0" w:space="0" w:color="auto"/>
        <w:right w:val="none" w:sz="0" w:space="0" w:color="auto"/>
      </w:divBdr>
    </w:div>
    <w:div w:id="1367095108">
      <w:bodyDiv w:val="1"/>
      <w:marLeft w:val="0"/>
      <w:marRight w:val="0"/>
      <w:marTop w:val="0"/>
      <w:marBottom w:val="0"/>
      <w:divBdr>
        <w:top w:val="none" w:sz="0" w:space="0" w:color="auto"/>
        <w:left w:val="none" w:sz="0" w:space="0" w:color="auto"/>
        <w:bottom w:val="none" w:sz="0" w:space="0" w:color="auto"/>
        <w:right w:val="none" w:sz="0" w:space="0" w:color="auto"/>
      </w:divBdr>
    </w:div>
    <w:div w:id="1369992474">
      <w:bodyDiv w:val="1"/>
      <w:marLeft w:val="0"/>
      <w:marRight w:val="0"/>
      <w:marTop w:val="0"/>
      <w:marBottom w:val="0"/>
      <w:divBdr>
        <w:top w:val="none" w:sz="0" w:space="0" w:color="auto"/>
        <w:left w:val="none" w:sz="0" w:space="0" w:color="auto"/>
        <w:bottom w:val="none" w:sz="0" w:space="0" w:color="auto"/>
        <w:right w:val="none" w:sz="0" w:space="0" w:color="auto"/>
      </w:divBdr>
    </w:div>
    <w:div w:id="1370227181">
      <w:bodyDiv w:val="1"/>
      <w:marLeft w:val="0"/>
      <w:marRight w:val="0"/>
      <w:marTop w:val="0"/>
      <w:marBottom w:val="0"/>
      <w:divBdr>
        <w:top w:val="none" w:sz="0" w:space="0" w:color="auto"/>
        <w:left w:val="none" w:sz="0" w:space="0" w:color="auto"/>
        <w:bottom w:val="none" w:sz="0" w:space="0" w:color="auto"/>
        <w:right w:val="none" w:sz="0" w:space="0" w:color="auto"/>
      </w:divBdr>
    </w:div>
    <w:div w:id="1386642398">
      <w:bodyDiv w:val="1"/>
      <w:marLeft w:val="0"/>
      <w:marRight w:val="0"/>
      <w:marTop w:val="0"/>
      <w:marBottom w:val="0"/>
      <w:divBdr>
        <w:top w:val="none" w:sz="0" w:space="0" w:color="auto"/>
        <w:left w:val="none" w:sz="0" w:space="0" w:color="auto"/>
        <w:bottom w:val="none" w:sz="0" w:space="0" w:color="auto"/>
        <w:right w:val="none" w:sz="0" w:space="0" w:color="auto"/>
      </w:divBdr>
    </w:div>
    <w:div w:id="1390687176">
      <w:bodyDiv w:val="1"/>
      <w:marLeft w:val="0"/>
      <w:marRight w:val="0"/>
      <w:marTop w:val="0"/>
      <w:marBottom w:val="0"/>
      <w:divBdr>
        <w:top w:val="none" w:sz="0" w:space="0" w:color="auto"/>
        <w:left w:val="none" w:sz="0" w:space="0" w:color="auto"/>
        <w:bottom w:val="none" w:sz="0" w:space="0" w:color="auto"/>
        <w:right w:val="none" w:sz="0" w:space="0" w:color="auto"/>
      </w:divBdr>
    </w:div>
    <w:div w:id="1391733900">
      <w:bodyDiv w:val="1"/>
      <w:marLeft w:val="0"/>
      <w:marRight w:val="0"/>
      <w:marTop w:val="0"/>
      <w:marBottom w:val="0"/>
      <w:divBdr>
        <w:top w:val="none" w:sz="0" w:space="0" w:color="auto"/>
        <w:left w:val="none" w:sz="0" w:space="0" w:color="auto"/>
        <w:bottom w:val="none" w:sz="0" w:space="0" w:color="auto"/>
        <w:right w:val="none" w:sz="0" w:space="0" w:color="auto"/>
      </w:divBdr>
    </w:div>
    <w:div w:id="1394163567">
      <w:bodyDiv w:val="1"/>
      <w:marLeft w:val="0"/>
      <w:marRight w:val="0"/>
      <w:marTop w:val="0"/>
      <w:marBottom w:val="0"/>
      <w:divBdr>
        <w:top w:val="none" w:sz="0" w:space="0" w:color="auto"/>
        <w:left w:val="none" w:sz="0" w:space="0" w:color="auto"/>
        <w:bottom w:val="none" w:sz="0" w:space="0" w:color="auto"/>
        <w:right w:val="none" w:sz="0" w:space="0" w:color="auto"/>
      </w:divBdr>
    </w:div>
    <w:div w:id="1395737049">
      <w:bodyDiv w:val="1"/>
      <w:marLeft w:val="0"/>
      <w:marRight w:val="0"/>
      <w:marTop w:val="0"/>
      <w:marBottom w:val="0"/>
      <w:divBdr>
        <w:top w:val="none" w:sz="0" w:space="0" w:color="auto"/>
        <w:left w:val="none" w:sz="0" w:space="0" w:color="auto"/>
        <w:bottom w:val="none" w:sz="0" w:space="0" w:color="auto"/>
        <w:right w:val="none" w:sz="0" w:space="0" w:color="auto"/>
      </w:divBdr>
    </w:div>
    <w:div w:id="1396053417">
      <w:bodyDiv w:val="1"/>
      <w:marLeft w:val="0"/>
      <w:marRight w:val="0"/>
      <w:marTop w:val="0"/>
      <w:marBottom w:val="0"/>
      <w:divBdr>
        <w:top w:val="none" w:sz="0" w:space="0" w:color="auto"/>
        <w:left w:val="none" w:sz="0" w:space="0" w:color="auto"/>
        <w:bottom w:val="none" w:sz="0" w:space="0" w:color="auto"/>
        <w:right w:val="none" w:sz="0" w:space="0" w:color="auto"/>
      </w:divBdr>
    </w:div>
    <w:div w:id="1401709780">
      <w:bodyDiv w:val="1"/>
      <w:marLeft w:val="0"/>
      <w:marRight w:val="0"/>
      <w:marTop w:val="0"/>
      <w:marBottom w:val="0"/>
      <w:divBdr>
        <w:top w:val="none" w:sz="0" w:space="0" w:color="auto"/>
        <w:left w:val="none" w:sz="0" w:space="0" w:color="auto"/>
        <w:bottom w:val="none" w:sz="0" w:space="0" w:color="auto"/>
        <w:right w:val="none" w:sz="0" w:space="0" w:color="auto"/>
      </w:divBdr>
    </w:div>
    <w:div w:id="1405910097">
      <w:bodyDiv w:val="1"/>
      <w:marLeft w:val="0"/>
      <w:marRight w:val="0"/>
      <w:marTop w:val="0"/>
      <w:marBottom w:val="0"/>
      <w:divBdr>
        <w:top w:val="none" w:sz="0" w:space="0" w:color="auto"/>
        <w:left w:val="none" w:sz="0" w:space="0" w:color="auto"/>
        <w:bottom w:val="none" w:sz="0" w:space="0" w:color="auto"/>
        <w:right w:val="none" w:sz="0" w:space="0" w:color="auto"/>
      </w:divBdr>
    </w:div>
    <w:div w:id="1408069465">
      <w:bodyDiv w:val="1"/>
      <w:marLeft w:val="0"/>
      <w:marRight w:val="0"/>
      <w:marTop w:val="0"/>
      <w:marBottom w:val="0"/>
      <w:divBdr>
        <w:top w:val="none" w:sz="0" w:space="0" w:color="auto"/>
        <w:left w:val="none" w:sz="0" w:space="0" w:color="auto"/>
        <w:bottom w:val="none" w:sz="0" w:space="0" w:color="auto"/>
        <w:right w:val="none" w:sz="0" w:space="0" w:color="auto"/>
      </w:divBdr>
    </w:div>
    <w:div w:id="1414546680">
      <w:bodyDiv w:val="1"/>
      <w:marLeft w:val="0"/>
      <w:marRight w:val="0"/>
      <w:marTop w:val="0"/>
      <w:marBottom w:val="0"/>
      <w:divBdr>
        <w:top w:val="none" w:sz="0" w:space="0" w:color="auto"/>
        <w:left w:val="none" w:sz="0" w:space="0" w:color="auto"/>
        <w:bottom w:val="none" w:sz="0" w:space="0" w:color="auto"/>
        <w:right w:val="none" w:sz="0" w:space="0" w:color="auto"/>
      </w:divBdr>
    </w:div>
    <w:div w:id="1418362525">
      <w:bodyDiv w:val="1"/>
      <w:marLeft w:val="0"/>
      <w:marRight w:val="0"/>
      <w:marTop w:val="0"/>
      <w:marBottom w:val="0"/>
      <w:divBdr>
        <w:top w:val="none" w:sz="0" w:space="0" w:color="auto"/>
        <w:left w:val="none" w:sz="0" w:space="0" w:color="auto"/>
        <w:bottom w:val="none" w:sz="0" w:space="0" w:color="auto"/>
        <w:right w:val="none" w:sz="0" w:space="0" w:color="auto"/>
      </w:divBdr>
    </w:div>
    <w:div w:id="1423985203">
      <w:bodyDiv w:val="1"/>
      <w:marLeft w:val="0"/>
      <w:marRight w:val="0"/>
      <w:marTop w:val="0"/>
      <w:marBottom w:val="0"/>
      <w:divBdr>
        <w:top w:val="none" w:sz="0" w:space="0" w:color="auto"/>
        <w:left w:val="none" w:sz="0" w:space="0" w:color="auto"/>
        <w:bottom w:val="none" w:sz="0" w:space="0" w:color="auto"/>
        <w:right w:val="none" w:sz="0" w:space="0" w:color="auto"/>
      </w:divBdr>
    </w:div>
    <w:div w:id="1431438118">
      <w:bodyDiv w:val="1"/>
      <w:marLeft w:val="0"/>
      <w:marRight w:val="0"/>
      <w:marTop w:val="0"/>
      <w:marBottom w:val="0"/>
      <w:divBdr>
        <w:top w:val="none" w:sz="0" w:space="0" w:color="auto"/>
        <w:left w:val="none" w:sz="0" w:space="0" w:color="auto"/>
        <w:bottom w:val="none" w:sz="0" w:space="0" w:color="auto"/>
        <w:right w:val="none" w:sz="0" w:space="0" w:color="auto"/>
      </w:divBdr>
    </w:div>
    <w:div w:id="1432120312">
      <w:bodyDiv w:val="1"/>
      <w:marLeft w:val="0"/>
      <w:marRight w:val="0"/>
      <w:marTop w:val="0"/>
      <w:marBottom w:val="0"/>
      <w:divBdr>
        <w:top w:val="none" w:sz="0" w:space="0" w:color="auto"/>
        <w:left w:val="none" w:sz="0" w:space="0" w:color="auto"/>
        <w:bottom w:val="none" w:sz="0" w:space="0" w:color="auto"/>
        <w:right w:val="none" w:sz="0" w:space="0" w:color="auto"/>
      </w:divBdr>
    </w:div>
    <w:div w:id="1432122796">
      <w:bodyDiv w:val="1"/>
      <w:marLeft w:val="0"/>
      <w:marRight w:val="0"/>
      <w:marTop w:val="0"/>
      <w:marBottom w:val="0"/>
      <w:divBdr>
        <w:top w:val="none" w:sz="0" w:space="0" w:color="auto"/>
        <w:left w:val="none" w:sz="0" w:space="0" w:color="auto"/>
        <w:bottom w:val="none" w:sz="0" w:space="0" w:color="auto"/>
        <w:right w:val="none" w:sz="0" w:space="0" w:color="auto"/>
      </w:divBdr>
    </w:div>
    <w:div w:id="1435127208">
      <w:bodyDiv w:val="1"/>
      <w:marLeft w:val="0"/>
      <w:marRight w:val="0"/>
      <w:marTop w:val="0"/>
      <w:marBottom w:val="0"/>
      <w:divBdr>
        <w:top w:val="none" w:sz="0" w:space="0" w:color="auto"/>
        <w:left w:val="none" w:sz="0" w:space="0" w:color="auto"/>
        <w:bottom w:val="none" w:sz="0" w:space="0" w:color="auto"/>
        <w:right w:val="none" w:sz="0" w:space="0" w:color="auto"/>
      </w:divBdr>
    </w:div>
    <w:div w:id="1436288595">
      <w:bodyDiv w:val="1"/>
      <w:marLeft w:val="0"/>
      <w:marRight w:val="0"/>
      <w:marTop w:val="0"/>
      <w:marBottom w:val="0"/>
      <w:divBdr>
        <w:top w:val="none" w:sz="0" w:space="0" w:color="auto"/>
        <w:left w:val="none" w:sz="0" w:space="0" w:color="auto"/>
        <w:bottom w:val="none" w:sz="0" w:space="0" w:color="auto"/>
        <w:right w:val="none" w:sz="0" w:space="0" w:color="auto"/>
      </w:divBdr>
    </w:div>
    <w:div w:id="1453013121">
      <w:bodyDiv w:val="1"/>
      <w:marLeft w:val="0"/>
      <w:marRight w:val="0"/>
      <w:marTop w:val="0"/>
      <w:marBottom w:val="0"/>
      <w:divBdr>
        <w:top w:val="none" w:sz="0" w:space="0" w:color="auto"/>
        <w:left w:val="none" w:sz="0" w:space="0" w:color="auto"/>
        <w:bottom w:val="none" w:sz="0" w:space="0" w:color="auto"/>
        <w:right w:val="none" w:sz="0" w:space="0" w:color="auto"/>
      </w:divBdr>
    </w:div>
    <w:div w:id="1455909544">
      <w:bodyDiv w:val="1"/>
      <w:marLeft w:val="0"/>
      <w:marRight w:val="0"/>
      <w:marTop w:val="0"/>
      <w:marBottom w:val="0"/>
      <w:divBdr>
        <w:top w:val="none" w:sz="0" w:space="0" w:color="auto"/>
        <w:left w:val="none" w:sz="0" w:space="0" w:color="auto"/>
        <w:bottom w:val="none" w:sz="0" w:space="0" w:color="auto"/>
        <w:right w:val="none" w:sz="0" w:space="0" w:color="auto"/>
      </w:divBdr>
    </w:div>
    <w:div w:id="1456288684">
      <w:bodyDiv w:val="1"/>
      <w:marLeft w:val="0"/>
      <w:marRight w:val="0"/>
      <w:marTop w:val="0"/>
      <w:marBottom w:val="0"/>
      <w:divBdr>
        <w:top w:val="none" w:sz="0" w:space="0" w:color="auto"/>
        <w:left w:val="none" w:sz="0" w:space="0" w:color="auto"/>
        <w:bottom w:val="none" w:sz="0" w:space="0" w:color="auto"/>
        <w:right w:val="none" w:sz="0" w:space="0" w:color="auto"/>
      </w:divBdr>
    </w:div>
    <w:div w:id="1468166343">
      <w:bodyDiv w:val="1"/>
      <w:marLeft w:val="0"/>
      <w:marRight w:val="0"/>
      <w:marTop w:val="0"/>
      <w:marBottom w:val="0"/>
      <w:divBdr>
        <w:top w:val="none" w:sz="0" w:space="0" w:color="auto"/>
        <w:left w:val="none" w:sz="0" w:space="0" w:color="auto"/>
        <w:bottom w:val="none" w:sz="0" w:space="0" w:color="auto"/>
        <w:right w:val="none" w:sz="0" w:space="0" w:color="auto"/>
      </w:divBdr>
    </w:div>
    <w:div w:id="1477188968">
      <w:bodyDiv w:val="1"/>
      <w:marLeft w:val="0"/>
      <w:marRight w:val="0"/>
      <w:marTop w:val="0"/>
      <w:marBottom w:val="0"/>
      <w:divBdr>
        <w:top w:val="none" w:sz="0" w:space="0" w:color="auto"/>
        <w:left w:val="none" w:sz="0" w:space="0" w:color="auto"/>
        <w:bottom w:val="none" w:sz="0" w:space="0" w:color="auto"/>
        <w:right w:val="none" w:sz="0" w:space="0" w:color="auto"/>
      </w:divBdr>
    </w:div>
    <w:div w:id="1482117548">
      <w:bodyDiv w:val="1"/>
      <w:marLeft w:val="0"/>
      <w:marRight w:val="0"/>
      <w:marTop w:val="0"/>
      <w:marBottom w:val="0"/>
      <w:divBdr>
        <w:top w:val="none" w:sz="0" w:space="0" w:color="auto"/>
        <w:left w:val="none" w:sz="0" w:space="0" w:color="auto"/>
        <w:bottom w:val="none" w:sz="0" w:space="0" w:color="auto"/>
        <w:right w:val="none" w:sz="0" w:space="0" w:color="auto"/>
      </w:divBdr>
    </w:div>
    <w:div w:id="1500343810">
      <w:bodyDiv w:val="1"/>
      <w:marLeft w:val="0"/>
      <w:marRight w:val="0"/>
      <w:marTop w:val="0"/>
      <w:marBottom w:val="0"/>
      <w:divBdr>
        <w:top w:val="none" w:sz="0" w:space="0" w:color="auto"/>
        <w:left w:val="none" w:sz="0" w:space="0" w:color="auto"/>
        <w:bottom w:val="none" w:sz="0" w:space="0" w:color="auto"/>
        <w:right w:val="none" w:sz="0" w:space="0" w:color="auto"/>
      </w:divBdr>
    </w:div>
    <w:div w:id="1518882155">
      <w:bodyDiv w:val="1"/>
      <w:marLeft w:val="0"/>
      <w:marRight w:val="0"/>
      <w:marTop w:val="0"/>
      <w:marBottom w:val="0"/>
      <w:divBdr>
        <w:top w:val="none" w:sz="0" w:space="0" w:color="auto"/>
        <w:left w:val="none" w:sz="0" w:space="0" w:color="auto"/>
        <w:bottom w:val="none" w:sz="0" w:space="0" w:color="auto"/>
        <w:right w:val="none" w:sz="0" w:space="0" w:color="auto"/>
      </w:divBdr>
    </w:div>
    <w:div w:id="1530803697">
      <w:bodyDiv w:val="1"/>
      <w:marLeft w:val="0"/>
      <w:marRight w:val="0"/>
      <w:marTop w:val="0"/>
      <w:marBottom w:val="0"/>
      <w:divBdr>
        <w:top w:val="none" w:sz="0" w:space="0" w:color="auto"/>
        <w:left w:val="none" w:sz="0" w:space="0" w:color="auto"/>
        <w:bottom w:val="none" w:sz="0" w:space="0" w:color="auto"/>
        <w:right w:val="none" w:sz="0" w:space="0" w:color="auto"/>
      </w:divBdr>
    </w:div>
    <w:div w:id="1532644136">
      <w:bodyDiv w:val="1"/>
      <w:marLeft w:val="0"/>
      <w:marRight w:val="0"/>
      <w:marTop w:val="0"/>
      <w:marBottom w:val="0"/>
      <w:divBdr>
        <w:top w:val="none" w:sz="0" w:space="0" w:color="auto"/>
        <w:left w:val="none" w:sz="0" w:space="0" w:color="auto"/>
        <w:bottom w:val="none" w:sz="0" w:space="0" w:color="auto"/>
        <w:right w:val="none" w:sz="0" w:space="0" w:color="auto"/>
      </w:divBdr>
    </w:div>
    <w:div w:id="1543320698">
      <w:bodyDiv w:val="1"/>
      <w:marLeft w:val="0"/>
      <w:marRight w:val="0"/>
      <w:marTop w:val="0"/>
      <w:marBottom w:val="0"/>
      <w:divBdr>
        <w:top w:val="none" w:sz="0" w:space="0" w:color="auto"/>
        <w:left w:val="none" w:sz="0" w:space="0" w:color="auto"/>
        <w:bottom w:val="none" w:sz="0" w:space="0" w:color="auto"/>
        <w:right w:val="none" w:sz="0" w:space="0" w:color="auto"/>
      </w:divBdr>
    </w:div>
    <w:div w:id="1557428965">
      <w:bodyDiv w:val="1"/>
      <w:marLeft w:val="0"/>
      <w:marRight w:val="0"/>
      <w:marTop w:val="0"/>
      <w:marBottom w:val="0"/>
      <w:divBdr>
        <w:top w:val="none" w:sz="0" w:space="0" w:color="auto"/>
        <w:left w:val="none" w:sz="0" w:space="0" w:color="auto"/>
        <w:bottom w:val="none" w:sz="0" w:space="0" w:color="auto"/>
        <w:right w:val="none" w:sz="0" w:space="0" w:color="auto"/>
      </w:divBdr>
    </w:div>
    <w:div w:id="1559246521">
      <w:bodyDiv w:val="1"/>
      <w:marLeft w:val="0"/>
      <w:marRight w:val="0"/>
      <w:marTop w:val="0"/>
      <w:marBottom w:val="0"/>
      <w:divBdr>
        <w:top w:val="none" w:sz="0" w:space="0" w:color="auto"/>
        <w:left w:val="none" w:sz="0" w:space="0" w:color="auto"/>
        <w:bottom w:val="none" w:sz="0" w:space="0" w:color="auto"/>
        <w:right w:val="none" w:sz="0" w:space="0" w:color="auto"/>
      </w:divBdr>
    </w:div>
    <w:div w:id="1570771520">
      <w:bodyDiv w:val="1"/>
      <w:marLeft w:val="0"/>
      <w:marRight w:val="0"/>
      <w:marTop w:val="0"/>
      <w:marBottom w:val="0"/>
      <w:divBdr>
        <w:top w:val="none" w:sz="0" w:space="0" w:color="auto"/>
        <w:left w:val="none" w:sz="0" w:space="0" w:color="auto"/>
        <w:bottom w:val="none" w:sz="0" w:space="0" w:color="auto"/>
        <w:right w:val="none" w:sz="0" w:space="0" w:color="auto"/>
      </w:divBdr>
    </w:div>
    <w:div w:id="1572083994">
      <w:bodyDiv w:val="1"/>
      <w:marLeft w:val="0"/>
      <w:marRight w:val="0"/>
      <w:marTop w:val="0"/>
      <w:marBottom w:val="0"/>
      <w:divBdr>
        <w:top w:val="none" w:sz="0" w:space="0" w:color="auto"/>
        <w:left w:val="none" w:sz="0" w:space="0" w:color="auto"/>
        <w:bottom w:val="none" w:sz="0" w:space="0" w:color="auto"/>
        <w:right w:val="none" w:sz="0" w:space="0" w:color="auto"/>
      </w:divBdr>
    </w:div>
    <w:div w:id="1575703849">
      <w:bodyDiv w:val="1"/>
      <w:marLeft w:val="0"/>
      <w:marRight w:val="0"/>
      <w:marTop w:val="0"/>
      <w:marBottom w:val="0"/>
      <w:divBdr>
        <w:top w:val="none" w:sz="0" w:space="0" w:color="auto"/>
        <w:left w:val="none" w:sz="0" w:space="0" w:color="auto"/>
        <w:bottom w:val="none" w:sz="0" w:space="0" w:color="auto"/>
        <w:right w:val="none" w:sz="0" w:space="0" w:color="auto"/>
      </w:divBdr>
    </w:div>
    <w:div w:id="1586458948">
      <w:bodyDiv w:val="1"/>
      <w:marLeft w:val="0"/>
      <w:marRight w:val="0"/>
      <w:marTop w:val="0"/>
      <w:marBottom w:val="0"/>
      <w:divBdr>
        <w:top w:val="none" w:sz="0" w:space="0" w:color="auto"/>
        <w:left w:val="none" w:sz="0" w:space="0" w:color="auto"/>
        <w:bottom w:val="none" w:sz="0" w:space="0" w:color="auto"/>
        <w:right w:val="none" w:sz="0" w:space="0" w:color="auto"/>
      </w:divBdr>
    </w:div>
    <w:div w:id="1586648644">
      <w:bodyDiv w:val="1"/>
      <w:marLeft w:val="0"/>
      <w:marRight w:val="0"/>
      <w:marTop w:val="0"/>
      <w:marBottom w:val="0"/>
      <w:divBdr>
        <w:top w:val="none" w:sz="0" w:space="0" w:color="auto"/>
        <w:left w:val="none" w:sz="0" w:space="0" w:color="auto"/>
        <w:bottom w:val="none" w:sz="0" w:space="0" w:color="auto"/>
        <w:right w:val="none" w:sz="0" w:space="0" w:color="auto"/>
      </w:divBdr>
    </w:div>
    <w:div w:id="1591936085">
      <w:bodyDiv w:val="1"/>
      <w:marLeft w:val="0"/>
      <w:marRight w:val="0"/>
      <w:marTop w:val="0"/>
      <w:marBottom w:val="0"/>
      <w:divBdr>
        <w:top w:val="none" w:sz="0" w:space="0" w:color="auto"/>
        <w:left w:val="none" w:sz="0" w:space="0" w:color="auto"/>
        <w:bottom w:val="none" w:sz="0" w:space="0" w:color="auto"/>
        <w:right w:val="none" w:sz="0" w:space="0" w:color="auto"/>
      </w:divBdr>
    </w:div>
    <w:div w:id="1593734736">
      <w:bodyDiv w:val="1"/>
      <w:marLeft w:val="0"/>
      <w:marRight w:val="0"/>
      <w:marTop w:val="0"/>
      <w:marBottom w:val="0"/>
      <w:divBdr>
        <w:top w:val="none" w:sz="0" w:space="0" w:color="auto"/>
        <w:left w:val="none" w:sz="0" w:space="0" w:color="auto"/>
        <w:bottom w:val="none" w:sz="0" w:space="0" w:color="auto"/>
        <w:right w:val="none" w:sz="0" w:space="0" w:color="auto"/>
      </w:divBdr>
    </w:div>
    <w:div w:id="1594050815">
      <w:bodyDiv w:val="1"/>
      <w:marLeft w:val="0"/>
      <w:marRight w:val="0"/>
      <w:marTop w:val="0"/>
      <w:marBottom w:val="0"/>
      <w:divBdr>
        <w:top w:val="none" w:sz="0" w:space="0" w:color="auto"/>
        <w:left w:val="none" w:sz="0" w:space="0" w:color="auto"/>
        <w:bottom w:val="none" w:sz="0" w:space="0" w:color="auto"/>
        <w:right w:val="none" w:sz="0" w:space="0" w:color="auto"/>
      </w:divBdr>
    </w:div>
    <w:div w:id="1599606963">
      <w:bodyDiv w:val="1"/>
      <w:marLeft w:val="0"/>
      <w:marRight w:val="0"/>
      <w:marTop w:val="0"/>
      <w:marBottom w:val="0"/>
      <w:divBdr>
        <w:top w:val="none" w:sz="0" w:space="0" w:color="auto"/>
        <w:left w:val="none" w:sz="0" w:space="0" w:color="auto"/>
        <w:bottom w:val="none" w:sz="0" w:space="0" w:color="auto"/>
        <w:right w:val="none" w:sz="0" w:space="0" w:color="auto"/>
      </w:divBdr>
    </w:div>
    <w:div w:id="1599829032">
      <w:bodyDiv w:val="1"/>
      <w:marLeft w:val="0"/>
      <w:marRight w:val="0"/>
      <w:marTop w:val="0"/>
      <w:marBottom w:val="0"/>
      <w:divBdr>
        <w:top w:val="none" w:sz="0" w:space="0" w:color="auto"/>
        <w:left w:val="none" w:sz="0" w:space="0" w:color="auto"/>
        <w:bottom w:val="none" w:sz="0" w:space="0" w:color="auto"/>
        <w:right w:val="none" w:sz="0" w:space="0" w:color="auto"/>
      </w:divBdr>
    </w:div>
    <w:div w:id="1603149215">
      <w:bodyDiv w:val="1"/>
      <w:marLeft w:val="0"/>
      <w:marRight w:val="0"/>
      <w:marTop w:val="0"/>
      <w:marBottom w:val="0"/>
      <w:divBdr>
        <w:top w:val="none" w:sz="0" w:space="0" w:color="auto"/>
        <w:left w:val="none" w:sz="0" w:space="0" w:color="auto"/>
        <w:bottom w:val="none" w:sz="0" w:space="0" w:color="auto"/>
        <w:right w:val="none" w:sz="0" w:space="0" w:color="auto"/>
      </w:divBdr>
    </w:div>
    <w:div w:id="1609585999">
      <w:bodyDiv w:val="1"/>
      <w:marLeft w:val="0"/>
      <w:marRight w:val="0"/>
      <w:marTop w:val="0"/>
      <w:marBottom w:val="0"/>
      <w:divBdr>
        <w:top w:val="none" w:sz="0" w:space="0" w:color="auto"/>
        <w:left w:val="none" w:sz="0" w:space="0" w:color="auto"/>
        <w:bottom w:val="none" w:sz="0" w:space="0" w:color="auto"/>
        <w:right w:val="none" w:sz="0" w:space="0" w:color="auto"/>
      </w:divBdr>
    </w:div>
    <w:div w:id="1611663652">
      <w:bodyDiv w:val="1"/>
      <w:marLeft w:val="0"/>
      <w:marRight w:val="0"/>
      <w:marTop w:val="0"/>
      <w:marBottom w:val="0"/>
      <w:divBdr>
        <w:top w:val="none" w:sz="0" w:space="0" w:color="auto"/>
        <w:left w:val="none" w:sz="0" w:space="0" w:color="auto"/>
        <w:bottom w:val="none" w:sz="0" w:space="0" w:color="auto"/>
        <w:right w:val="none" w:sz="0" w:space="0" w:color="auto"/>
      </w:divBdr>
    </w:div>
    <w:div w:id="1626039118">
      <w:bodyDiv w:val="1"/>
      <w:marLeft w:val="0"/>
      <w:marRight w:val="0"/>
      <w:marTop w:val="0"/>
      <w:marBottom w:val="0"/>
      <w:divBdr>
        <w:top w:val="none" w:sz="0" w:space="0" w:color="auto"/>
        <w:left w:val="none" w:sz="0" w:space="0" w:color="auto"/>
        <w:bottom w:val="none" w:sz="0" w:space="0" w:color="auto"/>
        <w:right w:val="none" w:sz="0" w:space="0" w:color="auto"/>
      </w:divBdr>
    </w:div>
    <w:div w:id="1627009968">
      <w:bodyDiv w:val="1"/>
      <w:marLeft w:val="0"/>
      <w:marRight w:val="0"/>
      <w:marTop w:val="0"/>
      <w:marBottom w:val="0"/>
      <w:divBdr>
        <w:top w:val="none" w:sz="0" w:space="0" w:color="auto"/>
        <w:left w:val="none" w:sz="0" w:space="0" w:color="auto"/>
        <w:bottom w:val="none" w:sz="0" w:space="0" w:color="auto"/>
        <w:right w:val="none" w:sz="0" w:space="0" w:color="auto"/>
      </w:divBdr>
    </w:div>
    <w:div w:id="1638101508">
      <w:bodyDiv w:val="1"/>
      <w:marLeft w:val="0"/>
      <w:marRight w:val="0"/>
      <w:marTop w:val="0"/>
      <w:marBottom w:val="0"/>
      <w:divBdr>
        <w:top w:val="none" w:sz="0" w:space="0" w:color="auto"/>
        <w:left w:val="none" w:sz="0" w:space="0" w:color="auto"/>
        <w:bottom w:val="none" w:sz="0" w:space="0" w:color="auto"/>
        <w:right w:val="none" w:sz="0" w:space="0" w:color="auto"/>
      </w:divBdr>
      <w:divsChild>
        <w:div w:id="1373844823">
          <w:marLeft w:val="0"/>
          <w:marRight w:val="0"/>
          <w:marTop w:val="0"/>
          <w:marBottom w:val="0"/>
          <w:divBdr>
            <w:top w:val="none" w:sz="0" w:space="0" w:color="auto"/>
            <w:left w:val="none" w:sz="0" w:space="0" w:color="auto"/>
            <w:bottom w:val="none" w:sz="0" w:space="0" w:color="auto"/>
            <w:right w:val="none" w:sz="0" w:space="0" w:color="auto"/>
          </w:divBdr>
        </w:div>
        <w:div w:id="1410811761">
          <w:marLeft w:val="0"/>
          <w:marRight w:val="0"/>
          <w:marTop w:val="0"/>
          <w:marBottom w:val="0"/>
          <w:divBdr>
            <w:top w:val="none" w:sz="0" w:space="0" w:color="auto"/>
            <w:left w:val="none" w:sz="0" w:space="0" w:color="auto"/>
            <w:bottom w:val="none" w:sz="0" w:space="0" w:color="auto"/>
            <w:right w:val="none" w:sz="0" w:space="0" w:color="auto"/>
          </w:divBdr>
        </w:div>
      </w:divsChild>
    </w:div>
    <w:div w:id="1650818420">
      <w:bodyDiv w:val="1"/>
      <w:marLeft w:val="0"/>
      <w:marRight w:val="0"/>
      <w:marTop w:val="0"/>
      <w:marBottom w:val="0"/>
      <w:divBdr>
        <w:top w:val="none" w:sz="0" w:space="0" w:color="auto"/>
        <w:left w:val="none" w:sz="0" w:space="0" w:color="auto"/>
        <w:bottom w:val="none" w:sz="0" w:space="0" w:color="auto"/>
        <w:right w:val="none" w:sz="0" w:space="0" w:color="auto"/>
      </w:divBdr>
    </w:div>
    <w:div w:id="1656910041">
      <w:bodyDiv w:val="1"/>
      <w:marLeft w:val="0"/>
      <w:marRight w:val="0"/>
      <w:marTop w:val="0"/>
      <w:marBottom w:val="0"/>
      <w:divBdr>
        <w:top w:val="none" w:sz="0" w:space="0" w:color="auto"/>
        <w:left w:val="none" w:sz="0" w:space="0" w:color="auto"/>
        <w:bottom w:val="none" w:sz="0" w:space="0" w:color="auto"/>
        <w:right w:val="none" w:sz="0" w:space="0" w:color="auto"/>
      </w:divBdr>
    </w:div>
    <w:div w:id="1657300635">
      <w:bodyDiv w:val="1"/>
      <w:marLeft w:val="0"/>
      <w:marRight w:val="0"/>
      <w:marTop w:val="0"/>
      <w:marBottom w:val="0"/>
      <w:divBdr>
        <w:top w:val="none" w:sz="0" w:space="0" w:color="auto"/>
        <w:left w:val="none" w:sz="0" w:space="0" w:color="auto"/>
        <w:bottom w:val="none" w:sz="0" w:space="0" w:color="auto"/>
        <w:right w:val="none" w:sz="0" w:space="0" w:color="auto"/>
      </w:divBdr>
    </w:div>
    <w:div w:id="1695809592">
      <w:bodyDiv w:val="1"/>
      <w:marLeft w:val="0"/>
      <w:marRight w:val="0"/>
      <w:marTop w:val="0"/>
      <w:marBottom w:val="0"/>
      <w:divBdr>
        <w:top w:val="none" w:sz="0" w:space="0" w:color="auto"/>
        <w:left w:val="none" w:sz="0" w:space="0" w:color="auto"/>
        <w:bottom w:val="none" w:sz="0" w:space="0" w:color="auto"/>
        <w:right w:val="none" w:sz="0" w:space="0" w:color="auto"/>
      </w:divBdr>
    </w:div>
    <w:div w:id="1699429644">
      <w:bodyDiv w:val="1"/>
      <w:marLeft w:val="0"/>
      <w:marRight w:val="0"/>
      <w:marTop w:val="0"/>
      <w:marBottom w:val="0"/>
      <w:divBdr>
        <w:top w:val="none" w:sz="0" w:space="0" w:color="auto"/>
        <w:left w:val="none" w:sz="0" w:space="0" w:color="auto"/>
        <w:bottom w:val="none" w:sz="0" w:space="0" w:color="auto"/>
        <w:right w:val="none" w:sz="0" w:space="0" w:color="auto"/>
      </w:divBdr>
    </w:div>
    <w:div w:id="1707173959">
      <w:bodyDiv w:val="1"/>
      <w:marLeft w:val="0"/>
      <w:marRight w:val="0"/>
      <w:marTop w:val="0"/>
      <w:marBottom w:val="0"/>
      <w:divBdr>
        <w:top w:val="none" w:sz="0" w:space="0" w:color="auto"/>
        <w:left w:val="none" w:sz="0" w:space="0" w:color="auto"/>
        <w:bottom w:val="none" w:sz="0" w:space="0" w:color="auto"/>
        <w:right w:val="none" w:sz="0" w:space="0" w:color="auto"/>
      </w:divBdr>
    </w:div>
    <w:div w:id="1708335229">
      <w:bodyDiv w:val="1"/>
      <w:marLeft w:val="0"/>
      <w:marRight w:val="0"/>
      <w:marTop w:val="0"/>
      <w:marBottom w:val="0"/>
      <w:divBdr>
        <w:top w:val="none" w:sz="0" w:space="0" w:color="auto"/>
        <w:left w:val="none" w:sz="0" w:space="0" w:color="auto"/>
        <w:bottom w:val="none" w:sz="0" w:space="0" w:color="auto"/>
        <w:right w:val="none" w:sz="0" w:space="0" w:color="auto"/>
      </w:divBdr>
    </w:div>
    <w:div w:id="1709066791">
      <w:bodyDiv w:val="1"/>
      <w:marLeft w:val="0"/>
      <w:marRight w:val="0"/>
      <w:marTop w:val="0"/>
      <w:marBottom w:val="0"/>
      <w:divBdr>
        <w:top w:val="none" w:sz="0" w:space="0" w:color="auto"/>
        <w:left w:val="none" w:sz="0" w:space="0" w:color="auto"/>
        <w:bottom w:val="none" w:sz="0" w:space="0" w:color="auto"/>
        <w:right w:val="none" w:sz="0" w:space="0" w:color="auto"/>
      </w:divBdr>
    </w:div>
    <w:div w:id="1724253245">
      <w:bodyDiv w:val="1"/>
      <w:marLeft w:val="0"/>
      <w:marRight w:val="0"/>
      <w:marTop w:val="0"/>
      <w:marBottom w:val="0"/>
      <w:divBdr>
        <w:top w:val="none" w:sz="0" w:space="0" w:color="auto"/>
        <w:left w:val="none" w:sz="0" w:space="0" w:color="auto"/>
        <w:bottom w:val="none" w:sz="0" w:space="0" w:color="auto"/>
        <w:right w:val="none" w:sz="0" w:space="0" w:color="auto"/>
      </w:divBdr>
    </w:div>
    <w:div w:id="1727415259">
      <w:bodyDiv w:val="1"/>
      <w:marLeft w:val="0"/>
      <w:marRight w:val="0"/>
      <w:marTop w:val="0"/>
      <w:marBottom w:val="0"/>
      <w:divBdr>
        <w:top w:val="none" w:sz="0" w:space="0" w:color="auto"/>
        <w:left w:val="none" w:sz="0" w:space="0" w:color="auto"/>
        <w:bottom w:val="none" w:sz="0" w:space="0" w:color="auto"/>
        <w:right w:val="none" w:sz="0" w:space="0" w:color="auto"/>
      </w:divBdr>
    </w:div>
    <w:div w:id="1727952817">
      <w:bodyDiv w:val="1"/>
      <w:marLeft w:val="0"/>
      <w:marRight w:val="0"/>
      <w:marTop w:val="0"/>
      <w:marBottom w:val="0"/>
      <w:divBdr>
        <w:top w:val="none" w:sz="0" w:space="0" w:color="auto"/>
        <w:left w:val="none" w:sz="0" w:space="0" w:color="auto"/>
        <w:bottom w:val="none" w:sz="0" w:space="0" w:color="auto"/>
        <w:right w:val="none" w:sz="0" w:space="0" w:color="auto"/>
      </w:divBdr>
    </w:div>
    <w:div w:id="1728842208">
      <w:bodyDiv w:val="1"/>
      <w:marLeft w:val="0"/>
      <w:marRight w:val="0"/>
      <w:marTop w:val="0"/>
      <w:marBottom w:val="0"/>
      <w:divBdr>
        <w:top w:val="none" w:sz="0" w:space="0" w:color="auto"/>
        <w:left w:val="none" w:sz="0" w:space="0" w:color="auto"/>
        <w:bottom w:val="none" w:sz="0" w:space="0" w:color="auto"/>
        <w:right w:val="none" w:sz="0" w:space="0" w:color="auto"/>
      </w:divBdr>
      <w:divsChild>
        <w:div w:id="837116467">
          <w:marLeft w:val="0"/>
          <w:marRight w:val="0"/>
          <w:marTop w:val="0"/>
          <w:marBottom w:val="240"/>
          <w:divBdr>
            <w:top w:val="none" w:sz="0" w:space="0" w:color="auto"/>
            <w:left w:val="none" w:sz="0" w:space="0" w:color="auto"/>
            <w:bottom w:val="none" w:sz="0" w:space="0" w:color="auto"/>
            <w:right w:val="none" w:sz="0" w:space="0" w:color="auto"/>
          </w:divBdr>
        </w:div>
      </w:divsChild>
    </w:div>
    <w:div w:id="1734238344">
      <w:bodyDiv w:val="1"/>
      <w:marLeft w:val="0"/>
      <w:marRight w:val="0"/>
      <w:marTop w:val="0"/>
      <w:marBottom w:val="0"/>
      <w:divBdr>
        <w:top w:val="none" w:sz="0" w:space="0" w:color="auto"/>
        <w:left w:val="none" w:sz="0" w:space="0" w:color="auto"/>
        <w:bottom w:val="none" w:sz="0" w:space="0" w:color="auto"/>
        <w:right w:val="none" w:sz="0" w:space="0" w:color="auto"/>
      </w:divBdr>
    </w:div>
    <w:div w:id="1737320880">
      <w:bodyDiv w:val="1"/>
      <w:marLeft w:val="0"/>
      <w:marRight w:val="0"/>
      <w:marTop w:val="0"/>
      <w:marBottom w:val="0"/>
      <w:divBdr>
        <w:top w:val="none" w:sz="0" w:space="0" w:color="auto"/>
        <w:left w:val="none" w:sz="0" w:space="0" w:color="auto"/>
        <w:bottom w:val="none" w:sz="0" w:space="0" w:color="auto"/>
        <w:right w:val="none" w:sz="0" w:space="0" w:color="auto"/>
      </w:divBdr>
    </w:div>
    <w:div w:id="1738238718">
      <w:bodyDiv w:val="1"/>
      <w:marLeft w:val="0"/>
      <w:marRight w:val="0"/>
      <w:marTop w:val="0"/>
      <w:marBottom w:val="0"/>
      <w:divBdr>
        <w:top w:val="none" w:sz="0" w:space="0" w:color="auto"/>
        <w:left w:val="none" w:sz="0" w:space="0" w:color="auto"/>
        <w:bottom w:val="none" w:sz="0" w:space="0" w:color="auto"/>
        <w:right w:val="none" w:sz="0" w:space="0" w:color="auto"/>
      </w:divBdr>
    </w:div>
    <w:div w:id="1746493336">
      <w:bodyDiv w:val="1"/>
      <w:marLeft w:val="0"/>
      <w:marRight w:val="0"/>
      <w:marTop w:val="0"/>
      <w:marBottom w:val="0"/>
      <w:divBdr>
        <w:top w:val="none" w:sz="0" w:space="0" w:color="auto"/>
        <w:left w:val="none" w:sz="0" w:space="0" w:color="auto"/>
        <w:bottom w:val="none" w:sz="0" w:space="0" w:color="auto"/>
        <w:right w:val="none" w:sz="0" w:space="0" w:color="auto"/>
      </w:divBdr>
    </w:div>
    <w:div w:id="1748529487">
      <w:bodyDiv w:val="1"/>
      <w:marLeft w:val="0"/>
      <w:marRight w:val="0"/>
      <w:marTop w:val="0"/>
      <w:marBottom w:val="0"/>
      <w:divBdr>
        <w:top w:val="none" w:sz="0" w:space="0" w:color="auto"/>
        <w:left w:val="none" w:sz="0" w:space="0" w:color="auto"/>
        <w:bottom w:val="none" w:sz="0" w:space="0" w:color="auto"/>
        <w:right w:val="none" w:sz="0" w:space="0" w:color="auto"/>
      </w:divBdr>
    </w:div>
    <w:div w:id="1760329350">
      <w:bodyDiv w:val="1"/>
      <w:marLeft w:val="0"/>
      <w:marRight w:val="0"/>
      <w:marTop w:val="0"/>
      <w:marBottom w:val="0"/>
      <w:divBdr>
        <w:top w:val="none" w:sz="0" w:space="0" w:color="auto"/>
        <w:left w:val="none" w:sz="0" w:space="0" w:color="auto"/>
        <w:bottom w:val="none" w:sz="0" w:space="0" w:color="auto"/>
        <w:right w:val="none" w:sz="0" w:space="0" w:color="auto"/>
      </w:divBdr>
    </w:div>
    <w:div w:id="1769156409">
      <w:bodyDiv w:val="1"/>
      <w:marLeft w:val="0"/>
      <w:marRight w:val="0"/>
      <w:marTop w:val="0"/>
      <w:marBottom w:val="0"/>
      <w:divBdr>
        <w:top w:val="none" w:sz="0" w:space="0" w:color="auto"/>
        <w:left w:val="none" w:sz="0" w:space="0" w:color="auto"/>
        <w:bottom w:val="none" w:sz="0" w:space="0" w:color="auto"/>
        <w:right w:val="none" w:sz="0" w:space="0" w:color="auto"/>
      </w:divBdr>
    </w:div>
    <w:div w:id="1769886999">
      <w:bodyDiv w:val="1"/>
      <w:marLeft w:val="0"/>
      <w:marRight w:val="0"/>
      <w:marTop w:val="0"/>
      <w:marBottom w:val="0"/>
      <w:divBdr>
        <w:top w:val="none" w:sz="0" w:space="0" w:color="auto"/>
        <w:left w:val="none" w:sz="0" w:space="0" w:color="auto"/>
        <w:bottom w:val="none" w:sz="0" w:space="0" w:color="auto"/>
        <w:right w:val="none" w:sz="0" w:space="0" w:color="auto"/>
      </w:divBdr>
    </w:div>
    <w:div w:id="1770471002">
      <w:bodyDiv w:val="1"/>
      <w:marLeft w:val="0"/>
      <w:marRight w:val="0"/>
      <w:marTop w:val="0"/>
      <w:marBottom w:val="0"/>
      <w:divBdr>
        <w:top w:val="none" w:sz="0" w:space="0" w:color="auto"/>
        <w:left w:val="none" w:sz="0" w:space="0" w:color="auto"/>
        <w:bottom w:val="none" w:sz="0" w:space="0" w:color="auto"/>
        <w:right w:val="none" w:sz="0" w:space="0" w:color="auto"/>
      </w:divBdr>
    </w:div>
    <w:div w:id="1777017183">
      <w:bodyDiv w:val="1"/>
      <w:marLeft w:val="0"/>
      <w:marRight w:val="0"/>
      <w:marTop w:val="0"/>
      <w:marBottom w:val="0"/>
      <w:divBdr>
        <w:top w:val="none" w:sz="0" w:space="0" w:color="auto"/>
        <w:left w:val="none" w:sz="0" w:space="0" w:color="auto"/>
        <w:bottom w:val="none" w:sz="0" w:space="0" w:color="auto"/>
        <w:right w:val="none" w:sz="0" w:space="0" w:color="auto"/>
      </w:divBdr>
    </w:div>
    <w:div w:id="1778599195">
      <w:bodyDiv w:val="1"/>
      <w:marLeft w:val="0"/>
      <w:marRight w:val="0"/>
      <w:marTop w:val="0"/>
      <w:marBottom w:val="0"/>
      <w:divBdr>
        <w:top w:val="none" w:sz="0" w:space="0" w:color="auto"/>
        <w:left w:val="none" w:sz="0" w:space="0" w:color="auto"/>
        <w:bottom w:val="none" w:sz="0" w:space="0" w:color="auto"/>
        <w:right w:val="none" w:sz="0" w:space="0" w:color="auto"/>
      </w:divBdr>
    </w:div>
    <w:div w:id="1783647679">
      <w:bodyDiv w:val="1"/>
      <w:marLeft w:val="0"/>
      <w:marRight w:val="0"/>
      <w:marTop w:val="0"/>
      <w:marBottom w:val="0"/>
      <w:divBdr>
        <w:top w:val="none" w:sz="0" w:space="0" w:color="auto"/>
        <w:left w:val="none" w:sz="0" w:space="0" w:color="auto"/>
        <w:bottom w:val="none" w:sz="0" w:space="0" w:color="auto"/>
        <w:right w:val="none" w:sz="0" w:space="0" w:color="auto"/>
      </w:divBdr>
    </w:div>
    <w:div w:id="1786928233">
      <w:bodyDiv w:val="1"/>
      <w:marLeft w:val="0"/>
      <w:marRight w:val="0"/>
      <w:marTop w:val="0"/>
      <w:marBottom w:val="0"/>
      <w:divBdr>
        <w:top w:val="none" w:sz="0" w:space="0" w:color="auto"/>
        <w:left w:val="none" w:sz="0" w:space="0" w:color="auto"/>
        <w:bottom w:val="none" w:sz="0" w:space="0" w:color="auto"/>
        <w:right w:val="none" w:sz="0" w:space="0" w:color="auto"/>
      </w:divBdr>
    </w:div>
    <w:div w:id="1790933856">
      <w:bodyDiv w:val="1"/>
      <w:marLeft w:val="0"/>
      <w:marRight w:val="0"/>
      <w:marTop w:val="0"/>
      <w:marBottom w:val="0"/>
      <w:divBdr>
        <w:top w:val="none" w:sz="0" w:space="0" w:color="auto"/>
        <w:left w:val="none" w:sz="0" w:space="0" w:color="auto"/>
        <w:bottom w:val="none" w:sz="0" w:space="0" w:color="auto"/>
        <w:right w:val="none" w:sz="0" w:space="0" w:color="auto"/>
      </w:divBdr>
    </w:div>
    <w:div w:id="1798991049">
      <w:bodyDiv w:val="1"/>
      <w:marLeft w:val="0"/>
      <w:marRight w:val="0"/>
      <w:marTop w:val="0"/>
      <w:marBottom w:val="0"/>
      <w:divBdr>
        <w:top w:val="none" w:sz="0" w:space="0" w:color="auto"/>
        <w:left w:val="none" w:sz="0" w:space="0" w:color="auto"/>
        <w:bottom w:val="none" w:sz="0" w:space="0" w:color="auto"/>
        <w:right w:val="none" w:sz="0" w:space="0" w:color="auto"/>
      </w:divBdr>
    </w:div>
    <w:div w:id="1824659471">
      <w:bodyDiv w:val="1"/>
      <w:marLeft w:val="0"/>
      <w:marRight w:val="0"/>
      <w:marTop w:val="0"/>
      <w:marBottom w:val="0"/>
      <w:divBdr>
        <w:top w:val="none" w:sz="0" w:space="0" w:color="auto"/>
        <w:left w:val="none" w:sz="0" w:space="0" w:color="auto"/>
        <w:bottom w:val="none" w:sz="0" w:space="0" w:color="auto"/>
        <w:right w:val="none" w:sz="0" w:space="0" w:color="auto"/>
      </w:divBdr>
    </w:div>
    <w:div w:id="1829246563">
      <w:bodyDiv w:val="1"/>
      <w:marLeft w:val="0"/>
      <w:marRight w:val="0"/>
      <w:marTop w:val="0"/>
      <w:marBottom w:val="0"/>
      <w:divBdr>
        <w:top w:val="none" w:sz="0" w:space="0" w:color="auto"/>
        <w:left w:val="none" w:sz="0" w:space="0" w:color="auto"/>
        <w:bottom w:val="none" w:sz="0" w:space="0" w:color="auto"/>
        <w:right w:val="none" w:sz="0" w:space="0" w:color="auto"/>
      </w:divBdr>
    </w:div>
    <w:div w:id="1830948587">
      <w:bodyDiv w:val="1"/>
      <w:marLeft w:val="0"/>
      <w:marRight w:val="0"/>
      <w:marTop w:val="0"/>
      <w:marBottom w:val="0"/>
      <w:divBdr>
        <w:top w:val="none" w:sz="0" w:space="0" w:color="auto"/>
        <w:left w:val="none" w:sz="0" w:space="0" w:color="auto"/>
        <w:bottom w:val="none" w:sz="0" w:space="0" w:color="auto"/>
        <w:right w:val="none" w:sz="0" w:space="0" w:color="auto"/>
      </w:divBdr>
    </w:div>
    <w:div w:id="1836023471">
      <w:bodyDiv w:val="1"/>
      <w:marLeft w:val="0"/>
      <w:marRight w:val="0"/>
      <w:marTop w:val="0"/>
      <w:marBottom w:val="0"/>
      <w:divBdr>
        <w:top w:val="none" w:sz="0" w:space="0" w:color="auto"/>
        <w:left w:val="none" w:sz="0" w:space="0" w:color="auto"/>
        <w:bottom w:val="none" w:sz="0" w:space="0" w:color="auto"/>
        <w:right w:val="none" w:sz="0" w:space="0" w:color="auto"/>
      </w:divBdr>
    </w:div>
    <w:div w:id="1859004929">
      <w:bodyDiv w:val="1"/>
      <w:marLeft w:val="0"/>
      <w:marRight w:val="0"/>
      <w:marTop w:val="0"/>
      <w:marBottom w:val="0"/>
      <w:divBdr>
        <w:top w:val="none" w:sz="0" w:space="0" w:color="auto"/>
        <w:left w:val="none" w:sz="0" w:space="0" w:color="auto"/>
        <w:bottom w:val="none" w:sz="0" w:space="0" w:color="auto"/>
        <w:right w:val="none" w:sz="0" w:space="0" w:color="auto"/>
      </w:divBdr>
    </w:div>
    <w:div w:id="1862737727">
      <w:bodyDiv w:val="1"/>
      <w:marLeft w:val="0"/>
      <w:marRight w:val="0"/>
      <w:marTop w:val="0"/>
      <w:marBottom w:val="0"/>
      <w:divBdr>
        <w:top w:val="none" w:sz="0" w:space="0" w:color="auto"/>
        <w:left w:val="none" w:sz="0" w:space="0" w:color="auto"/>
        <w:bottom w:val="none" w:sz="0" w:space="0" w:color="auto"/>
        <w:right w:val="none" w:sz="0" w:space="0" w:color="auto"/>
      </w:divBdr>
    </w:div>
    <w:div w:id="1867282249">
      <w:bodyDiv w:val="1"/>
      <w:marLeft w:val="0"/>
      <w:marRight w:val="0"/>
      <w:marTop w:val="0"/>
      <w:marBottom w:val="0"/>
      <w:divBdr>
        <w:top w:val="none" w:sz="0" w:space="0" w:color="auto"/>
        <w:left w:val="none" w:sz="0" w:space="0" w:color="auto"/>
        <w:bottom w:val="none" w:sz="0" w:space="0" w:color="auto"/>
        <w:right w:val="none" w:sz="0" w:space="0" w:color="auto"/>
      </w:divBdr>
    </w:div>
    <w:div w:id="1879463866">
      <w:bodyDiv w:val="1"/>
      <w:marLeft w:val="0"/>
      <w:marRight w:val="0"/>
      <w:marTop w:val="0"/>
      <w:marBottom w:val="0"/>
      <w:divBdr>
        <w:top w:val="none" w:sz="0" w:space="0" w:color="auto"/>
        <w:left w:val="none" w:sz="0" w:space="0" w:color="auto"/>
        <w:bottom w:val="none" w:sz="0" w:space="0" w:color="auto"/>
        <w:right w:val="none" w:sz="0" w:space="0" w:color="auto"/>
      </w:divBdr>
    </w:div>
    <w:div w:id="1881818251">
      <w:bodyDiv w:val="1"/>
      <w:marLeft w:val="0"/>
      <w:marRight w:val="0"/>
      <w:marTop w:val="0"/>
      <w:marBottom w:val="0"/>
      <w:divBdr>
        <w:top w:val="none" w:sz="0" w:space="0" w:color="auto"/>
        <w:left w:val="none" w:sz="0" w:space="0" w:color="auto"/>
        <w:bottom w:val="none" w:sz="0" w:space="0" w:color="auto"/>
        <w:right w:val="none" w:sz="0" w:space="0" w:color="auto"/>
      </w:divBdr>
    </w:div>
    <w:div w:id="1884054856">
      <w:bodyDiv w:val="1"/>
      <w:marLeft w:val="0"/>
      <w:marRight w:val="0"/>
      <w:marTop w:val="0"/>
      <w:marBottom w:val="0"/>
      <w:divBdr>
        <w:top w:val="none" w:sz="0" w:space="0" w:color="auto"/>
        <w:left w:val="none" w:sz="0" w:space="0" w:color="auto"/>
        <w:bottom w:val="none" w:sz="0" w:space="0" w:color="auto"/>
        <w:right w:val="none" w:sz="0" w:space="0" w:color="auto"/>
      </w:divBdr>
    </w:div>
    <w:div w:id="1888566352">
      <w:bodyDiv w:val="1"/>
      <w:marLeft w:val="0"/>
      <w:marRight w:val="0"/>
      <w:marTop w:val="0"/>
      <w:marBottom w:val="0"/>
      <w:divBdr>
        <w:top w:val="none" w:sz="0" w:space="0" w:color="auto"/>
        <w:left w:val="none" w:sz="0" w:space="0" w:color="auto"/>
        <w:bottom w:val="none" w:sz="0" w:space="0" w:color="auto"/>
        <w:right w:val="none" w:sz="0" w:space="0" w:color="auto"/>
      </w:divBdr>
    </w:div>
    <w:div w:id="1888957380">
      <w:bodyDiv w:val="1"/>
      <w:marLeft w:val="0"/>
      <w:marRight w:val="0"/>
      <w:marTop w:val="0"/>
      <w:marBottom w:val="0"/>
      <w:divBdr>
        <w:top w:val="none" w:sz="0" w:space="0" w:color="auto"/>
        <w:left w:val="none" w:sz="0" w:space="0" w:color="auto"/>
        <w:bottom w:val="none" w:sz="0" w:space="0" w:color="auto"/>
        <w:right w:val="none" w:sz="0" w:space="0" w:color="auto"/>
      </w:divBdr>
    </w:div>
    <w:div w:id="1898470727">
      <w:bodyDiv w:val="1"/>
      <w:marLeft w:val="0"/>
      <w:marRight w:val="0"/>
      <w:marTop w:val="0"/>
      <w:marBottom w:val="0"/>
      <w:divBdr>
        <w:top w:val="none" w:sz="0" w:space="0" w:color="auto"/>
        <w:left w:val="none" w:sz="0" w:space="0" w:color="auto"/>
        <w:bottom w:val="none" w:sz="0" w:space="0" w:color="auto"/>
        <w:right w:val="none" w:sz="0" w:space="0" w:color="auto"/>
      </w:divBdr>
    </w:div>
    <w:div w:id="1902136069">
      <w:bodyDiv w:val="1"/>
      <w:marLeft w:val="0"/>
      <w:marRight w:val="0"/>
      <w:marTop w:val="0"/>
      <w:marBottom w:val="0"/>
      <w:divBdr>
        <w:top w:val="none" w:sz="0" w:space="0" w:color="auto"/>
        <w:left w:val="none" w:sz="0" w:space="0" w:color="auto"/>
        <w:bottom w:val="none" w:sz="0" w:space="0" w:color="auto"/>
        <w:right w:val="none" w:sz="0" w:space="0" w:color="auto"/>
      </w:divBdr>
    </w:div>
    <w:div w:id="1902597845">
      <w:bodyDiv w:val="1"/>
      <w:marLeft w:val="0"/>
      <w:marRight w:val="0"/>
      <w:marTop w:val="0"/>
      <w:marBottom w:val="0"/>
      <w:divBdr>
        <w:top w:val="none" w:sz="0" w:space="0" w:color="auto"/>
        <w:left w:val="none" w:sz="0" w:space="0" w:color="auto"/>
        <w:bottom w:val="none" w:sz="0" w:space="0" w:color="auto"/>
        <w:right w:val="none" w:sz="0" w:space="0" w:color="auto"/>
      </w:divBdr>
    </w:div>
    <w:div w:id="1917855469">
      <w:bodyDiv w:val="1"/>
      <w:marLeft w:val="0"/>
      <w:marRight w:val="0"/>
      <w:marTop w:val="0"/>
      <w:marBottom w:val="0"/>
      <w:divBdr>
        <w:top w:val="none" w:sz="0" w:space="0" w:color="auto"/>
        <w:left w:val="none" w:sz="0" w:space="0" w:color="auto"/>
        <w:bottom w:val="none" w:sz="0" w:space="0" w:color="auto"/>
        <w:right w:val="none" w:sz="0" w:space="0" w:color="auto"/>
      </w:divBdr>
    </w:div>
    <w:div w:id="1921527296">
      <w:bodyDiv w:val="1"/>
      <w:marLeft w:val="0"/>
      <w:marRight w:val="0"/>
      <w:marTop w:val="0"/>
      <w:marBottom w:val="0"/>
      <w:divBdr>
        <w:top w:val="none" w:sz="0" w:space="0" w:color="auto"/>
        <w:left w:val="none" w:sz="0" w:space="0" w:color="auto"/>
        <w:bottom w:val="none" w:sz="0" w:space="0" w:color="auto"/>
        <w:right w:val="none" w:sz="0" w:space="0" w:color="auto"/>
      </w:divBdr>
    </w:div>
    <w:div w:id="1922836104">
      <w:bodyDiv w:val="1"/>
      <w:marLeft w:val="0"/>
      <w:marRight w:val="0"/>
      <w:marTop w:val="0"/>
      <w:marBottom w:val="0"/>
      <w:divBdr>
        <w:top w:val="none" w:sz="0" w:space="0" w:color="auto"/>
        <w:left w:val="none" w:sz="0" w:space="0" w:color="auto"/>
        <w:bottom w:val="none" w:sz="0" w:space="0" w:color="auto"/>
        <w:right w:val="none" w:sz="0" w:space="0" w:color="auto"/>
      </w:divBdr>
    </w:div>
    <w:div w:id="1945646653">
      <w:bodyDiv w:val="1"/>
      <w:marLeft w:val="0"/>
      <w:marRight w:val="0"/>
      <w:marTop w:val="0"/>
      <w:marBottom w:val="0"/>
      <w:divBdr>
        <w:top w:val="none" w:sz="0" w:space="0" w:color="auto"/>
        <w:left w:val="none" w:sz="0" w:space="0" w:color="auto"/>
        <w:bottom w:val="none" w:sz="0" w:space="0" w:color="auto"/>
        <w:right w:val="none" w:sz="0" w:space="0" w:color="auto"/>
      </w:divBdr>
    </w:div>
    <w:div w:id="1949002225">
      <w:bodyDiv w:val="1"/>
      <w:marLeft w:val="0"/>
      <w:marRight w:val="0"/>
      <w:marTop w:val="0"/>
      <w:marBottom w:val="0"/>
      <w:divBdr>
        <w:top w:val="none" w:sz="0" w:space="0" w:color="auto"/>
        <w:left w:val="none" w:sz="0" w:space="0" w:color="auto"/>
        <w:bottom w:val="none" w:sz="0" w:space="0" w:color="auto"/>
        <w:right w:val="none" w:sz="0" w:space="0" w:color="auto"/>
      </w:divBdr>
    </w:div>
    <w:div w:id="1966422854">
      <w:bodyDiv w:val="1"/>
      <w:marLeft w:val="0"/>
      <w:marRight w:val="0"/>
      <w:marTop w:val="0"/>
      <w:marBottom w:val="0"/>
      <w:divBdr>
        <w:top w:val="none" w:sz="0" w:space="0" w:color="auto"/>
        <w:left w:val="none" w:sz="0" w:space="0" w:color="auto"/>
        <w:bottom w:val="none" w:sz="0" w:space="0" w:color="auto"/>
        <w:right w:val="none" w:sz="0" w:space="0" w:color="auto"/>
      </w:divBdr>
    </w:div>
    <w:div w:id="1967421412">
      <w:bodyDiv w:val="1"/>
      <w:marLeft w:val="0"/>
      <w:marRight w:val="0"/>
      <w:marTop w:val="0"/>
      <w:marBottom w:val="0"/>
      <w:divBdr>
        <w:top w:val="none" w:sz="0" w:space="0" w:color="auto"/>
        <w:left w:val="none" w:sz="0" w:space="0" w:color="auto"/>
        <w:bottom w:val="none" w:sz="0" w:space="0" w:color="auto"/>
        <w:right w:val="none" w:sz="0" w:space="0" w:color="auto"/>
      </w:divBdr>
    </w:div>
    <w:div w:id="1975524382">
      <w:bodyDiv w:val="1"/>
      <w:marLeft w:val="0"/>
      <w:marRight w:val="0"/>
      <w:marTop w:val="0"/>
      <w:marBottom w:val="0"/>
      <w:divBdr>
        <w:top w:val="none" w:sz="0" w:space="0" w:color="auto"/>
        <w:left w:val="none" w:sz="0" w:space="0" w:color="auto"/>
        <w:bottom w:val="none" w:sz="0" w:space="0" w:color="auto"/>
        <w:right w:val="none" w:sz="0" w:space="0" w:color="auto"/>
      </w:divBdr>
    </w:div>
    <w:div w:id="1976252263">
      <w:bodyDiv w:val="1"/>
      <w:marLeft w:val="0"/>
      <w:marRight w:val="0"/>
      <w:marTop w:val="0"/>
      <w:marBottom w:val="0"/>
      <w:divBdr>
        <w:top w:val="none" w:sz="0" w:space="0" w:color="auto"/>
        <w:left w:val="none" w:sz="0" w:space="0" w:color="auto"/>
        <w:bottom w:val="none" w:sz="0" w:space="0" w:color="auto"/>
        <w:right w:val="none" w:sz="0" w:space="0" w:color="auto"/>
      </w:divBdr>
    </w:div>
    <w:div w:id="1980843059">
      <w:bodyDiv w:val="1"/>
      <w:marLeft w:val="0"/>
      <w:marRight w:val="0"/>
      <w:marTop w:val="0"/>
      <w:marBottom w:val="0"/>
      <w:divBdr>
        <w:top w:val="none" w:sz="0" w:space="0" w:color="auto"/>
        <w:left w:val="none" w:sz="0" w:space="0" w:color="auto"/>
        <w:bottom w:val="none" w:sz="0" w:space="0" w:color="auto"/>
        <w:right w:val="none" w:sz="0" w:space="0" w:color="auto"/>
      </w:divBdr>
    </w:div>
    <w:div w:id="2010324888">
      <w:bodyDiv w:val="1"/>
      <w:marLeft w:val="0"/>
      <w:marRight w:val="0"/>
      <w:marTop w:val="0"/>
      <w:marBottom w:val="0"/>
      <w:divBdr>
        <w:top w:val="none" w:sz="0" w:space="0" w:color="auto"/>
        <w:left w:val="none" w:sz="0" w:space="0" w:color="auto"/>
        <w:bottom w:val="none" w:sz="0" w:space="0" w:color="auto"/>
        <w:right w:val="none" w:sz="0" w:space="0" w:color="auto"/>
      </w:divBdr>
    </w:div>
    <w:div w:id="2025205910">
      <w:bodyDiv w:val="1"/>
      <w:marLeft w:val="0"/>
      <w:marRight w:val="0"/>
      <w:marTop w:val="0"/>
      <w:marBottom w:val="0"/>
      <w:divBdr>
        <w:top w:val="none" w:sz="0" w:space="0" w:color="auto"/>
        <w:left w:val="none" w:sz="0" w:space="0" w:color="auto"/>
        <w:bottom w:val="none" w:sz="0" w:space="0" w:color="auto"/>
        <w:right w:val="none" w:sz="0" w:space="0" w:color="auto"/>
      </w:divBdr>
    </w:div>
    <w:div w:id="2028408643">
      <w:bodyDiv w:val="1"/>
      <w:marLeft w:val="0"/>
      <w:marRight w:val="0"/>
      <w:marTop w:val="0"/>
      <w:marBottom w:val="0"/>
      <w:divBdr>
        <w:top w:val="none" w:sz="0" w:space="0" w:color="auto"/>
        <w:left w:val="none" w:sz="0" w:space="0" w:color="auto"/>
        <w:bottom w:val="none" w:sz="0" w:space="0" w:color="auto"/>
        <w:right w:val="none" w:sz="0" w:space="0" w:color="auto"/>
      </w:divBdr>
    </w:div>
    <w:div w:id="2030792319">
      <w:bodyDiv w:val="1"/>
      <w:marLeft w:val="0"/>
      <w:marRight w:val="0"/>
      <w:marTop w:val="0"/>
      <w:marBottom w:val="0"/>
      <w:divBdr>
        <w:top w:val="none" w:sz="0" w:space="0" w:color="auto"/>
        <w:left w:val="none" w:sz="0" w:space="0" w:color="auto"/>
        <w:bottom w:val="none" w:sz="0" w:space="0" w:color="auto"/>
        <w:right w:val="none" w:sz="0" w:space="0" w:color="auto"/>
      </w:divBdr>
    </w:div>
    <w:div w:id="2032367995">
      <w:bodyDiv w:val="1"/>
      <w:marLeft w:val="0"/>
      <w:marRight w:val="0"/>
      <w:marTop w:val="0"/>
      <w:marBottom w:val="0"/>
      <w:divBdr>
        <w:top w:val="none" w:sz="0" w:space="0" w:color="auto"/>
        <w:left w:val="none" w:sz="0" w:space="0" w:color="auto"/>
        <w:bottom w:val="none" w:sz="0" w:space="0" w:color="auto"/>
        <w:right w:val="none" w:sz="0" w:space="0" w:color="auto"/>
      </w:divBdr>
    </w:div>
    <w:div w:id="2038849671">
      <w:bodyDiv w:val="1"/>
      <w:marLeft w:val="0"/>
      <w:marRight w:val="0"/>
      <w:marTop w:val="0"/>
      <w:marBottom w:val="0"/>
      <w:divBdr>
        <w:top w:val="none" w:sz="0" w:space="0" w:color="auto"/>
        <w:left w:val="none" w:sz="0" w:space="0" w:color="auto"/>
        <w:bottom w:val="none" w:sz="0" w:space="0" w:color="auto"/>
        <w:right w:val="none" w:sz="0" w:space="0" w:color="auto"/>
      </w:divBdr>
    </w:div>
    <w:div w:id="2040424215">
      <w:bodyDiv w:val="1"/>
      <w:marLeft w:val="0"/>
      <w:marRight w:val="0"/>
      <w:marTop w:val="0"/>
      <w:marBottom w:val="0"/>
      <w:divBdr>
        <w:top w:val="none" w:sz="0" w:space="0" w:color="auto"/>
        <w:left w:val="none" w:sz="0" w:space="0" w:color="auto"/>
        <w:bottom w:val="none" w:sz="0" w:space="0" w:color="auto"/>
        <w:right w:val="none" w:sz="0" w:space="0" w:color="auto"/>
      </w:divBdr>
    </w:div>
    <w:div w:id="2045059869">
      <w:bodyDiv w:val="1"/>
      <w:marLeft w:val="0"/>
      <w:marRight w:val="0"/>
      <w:marTop w:val="0"/>
      <w:marBottom w:val="0"/>
      <w:divBdr>
        <w:top w:val="none" w:sz="0" w:space="0" w:color="auto"/>
        <w:left w:val="none" w:sz="0" w:space="0" w:color="auto"/>
        <w:bottom w:val="none" w:sz="0" w:space="0" w:color="auto"/>
        <w:right w:val="none" w:sz="0" w:space="0" w:color="auto"/>
      </w:divBdr>
    </w:div>
    <w:div w:id="2056467328">
      <w:bodyDiv w:val="1"/>
      <w:marLeft w:val="0"/>
      <w:marRight w:val="0"/>
      <w:marTop w:val="0"/>
      <w:marBottom w:val="0"/>
      <w:divBdr>
        <w:top w:val="none" w:sz="0" w:space="0" w:color="auto"/>
        <w:left w:val="none" w:sz="0" w:space="0" w:color="auto"/>
        <w:bottom w:val="none" w:sz="0" w:space="0" w:color="auto"/>
        <w:right w:val="none" w:sz="0" w:space="0" w:color="auto"/>
      </w:divBdr>
    </w:div>
    <w:div w:id="2058118260">
      <w:bodyDiv w:val="1"/>
      <w:marLeft w:val="0"/>
      <w:marRight w:val="0"/>
      <w:marTop w:val="0"/>
      <w:marBottom w:val="0"/>
      <w:divBdr>
        <w:top w:val="none" w:sz="0" w:space="0" w:color="auto"/>
        <w:left w:val="none" w:sz="0" w:space="0" w:color="auto"/>
        <w:bottom w:val="none" w:sz="0" w:space="0" w:color="auto"/>
        <w:right w:val="none" w:sz="0" w:space="0" w:color="auto"/>
      </w:divBdr>
    </w:div>
    <w:div w:id="2063551575">
      <w:bodyDiv w:val="1"/>
      <w:marLeft w:val="0"/>
      <w:marRight w:val="0"/>
      <w:marTop w:val="0"/>
      <w:marBottom w:val="0"/>
      <w:divBdr>
        <w:top w:val="none" w:sz="0" w:space="0" w:color="auto"/>
        <w:left w:val="none" w:sz="0" w:space="0" w:color="auto"/>
        <w:bottom w:val="none" w:sz="0" w:space="0" w:color="auto"/>
        <w:right w:val="none" w:sz="0" w:space="0" w:color="auto"/>
      </w:divBdr>
    </w:div>
    <w:div w:id="2067102070">
      <w:bodyDiv w:val="1"/>
      <w:marLeft w:val="0"/>
      <w:marRight w:val="0"/>
      <w:marTop w:val="0"/>
      <w:marBottom w:val="0"/>
      <w:divBdr>
        <w:top w:val="none" w:sz="0" w:space="0" w:color="auto"/>
        <w:left w:val="none" w:sz="0" w:space="0" w:color="auto"/>
        <w:bottom w:val="none" w:sz="0" w:space="0" w:color="auto"/>
        <w:right w:val="none" w:sz="0" w:space="0" w:color="auto"/>
      </w:divBdr>
    </w:div>
    <w:div w:id="2067532068">
      <w:bodyDiv w:val="1"/>
      <w:marLeft w:val="0"/>
      <w:marRight w:val="0"/>
      <w:marTop w:val="0"/>
      <w:marBottom w:val="0"/>
      <w:divBdr>
        <w:top w:val="none" w:sz="0" w:space="0" w:color="auto"/>
        <w:left w:val="none" w:sz="0" w:space="0" w:color="auto"/>
        <w:bottom w:val="none" w:sz="0" w:space="0" w:color="auto"/>
        <w:right w:val="none" w:sz="0" w:space="0" w:color="auto"/>
      </w:divBdr>
    </w:div>
    <w:div w:id="2092852875">
      <w:bodyDiv w:val="1"/>
      <w:marLeft w:val="0"/>
      <w:marRight w:val="0"/>
      <w:marTop w:val="0"/>
      <w:marBottom w:val="0"/>
      <w:divBdr>
        <w:top w:val="none" w:sz="0" w:space="0" w:color="auto"/>
        <w:left w:val="none" w:sz="0" w:space="0" w:color="auto"/>
        <w:bottom w:val="none" w:sz="0" w:space="0" w:color="auto"/>
        <w:right w:val="none" w:sz="0" w:space="0" w:color="auto"/>
      </w:divBdr>
    </w:div>
    <w:div w:id="2094475282">
      <w:bodyDiv w:val="1"/>
      <w:marLeft w:val="0"/>
      <w:marRight w:val="0"/>
      <w:marTop w:val="0"/>
      <w:marBottom w:val="0"/>
      <w:divBdr>
        <w:top w:val="none" w:sz="0" w:space="0" w:color="auto"/>
        <w:left w:val="none" w:sz="0" w:space="0" w:color="auto"/>
        <w:bottom w:val="none" w:sz="0" w:space="0" w:color="auto"/>
        <w:right w:val="none" w:sz="0" w:space="0" w:color="auto"/>
      </w:divBdr>
      <w:divsChild>
        <w:div w:id="166678597">
          <w:marLeft w:val="0"/>
          <w:marRight w:val="0"/>
          <w:marTop w:val="0"/>
          <w:marBottom w:val="240"/>
          <w:divBdr>
            <w:top w:val="none" w:sz="0" w:space="0" w:color="auto"/>
            <w:left w:val="none" w:sz="0" w:space="0" w:color="auto"/>
            <w:bottom w:val="none" w:sz="0" w:space="0" w:color="auto"/>
            <w:right w:val="none" w:sz="0" w:space="0" w:color="auto"/>
          </w:divBdr>
          <w:divsChild>
            <w:div w:id="964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2180">
      <w:bodyDiv w:val="1"/>
      <w:marLeft w:val="0"/>
      <w:marRight w:val="0"/>
      <w:marTop w:val="0"/>
      <w:marBottom w:val="0"/>
      <w:divBdr>
        <w:top w:val="none" w:sz="0" w:space="0" w:color="auto"/>
        <w:left w:val="none" w:sz="0" w:space="0" w:color="auto"/>
        <w:bottom w:val="none" w:sz="0" w:space="0" w:color="auto"/>
        <w:right w:val="none" w:sz="0" w:space="0" w:color="auto"/>
      </w:divBdr>
    </w:div>
    <w:div w:id="2102722838">
      <w:bodyDiv w:val="1"/>
      <w:marLeft w:val="0"/>
      <w:marRight w:val="0"/>
      <w:marTop w:val="0"/>
      <w:marBottom w:val="0"/>
      <w:divBdr>
        <w:top w:val="none" w:sz="0" w:space="0" w:color="auto"/>
        <w:left w:val="none" w:sz="0" w:space="0" w:color="auto"/>
        <w:bottom w:val="none" w:sz="0" w:space="0" w:color="auto"/>
        <w:right w:val="none" w:sz="0" w:space="0" w:color="auto"/>
      </w:divBdr>
    </w:div>
    <w:div w:id="2108037381">
      <w:bodyDiv w:val="1"/>
      <w:marLeft w:val="0"/>
      <w:marRight w:val="0"/>
      <w:marTop w:val="0"/>
      <w:marBottom w:val="0"/>
      <w:divBdr>
        <w:top w:val="none" w:sz="0" w:space="0" w:color="auto"/>
        <w:left w:val="none" w:sz="0" w:space="0" w:color="auto"/>
        <w:bottom w:val="none" w:sz="0" w:space="0" w:color="auto"/>
        <w:right w:val="none" w:sz="0" w:space="0" w:color="auto"/>
      </w:divBdr>
    </w:div>
    <w:div w:id="2111506922">
      <w:bodyDiv w:val="1"/>
      <w:marLeft w:val="0"/>
      <w:marRight w:val="0"/>
      <w:marTop w:val="0"/>
      <w:marBottom w:val="0"/>
      <w:divBdr>
        <w:top w:val="none" w:sz="0" w:space="0" w:color="auto"/>
        <w:left w:val="none" w:sz="0" w:space="0" w:color="auto"/>
        <w:bottom w:val="none" w:sz="0" w:space="0" w:color="auto"/>
        <w:right w:val="none" w:sz="0" w:space="0" w:color="auto"/>
      </w:divBdr>
    </w:div>
    <w:div w:id="2121684355">
      <w:bodyDiv w:val="1"/>
      <w:marLeft w:val="0"/>
      <w:marRight w:val="0"/>
      <w:marTop w:val="0"/>
      <w:marBottom w:val="0"/>
      <w:divBdr>
        <w:top w:val="none" w:sz="0" w:space="0" w:color="auto"/>
        <w:left w:val="none" w:sz="0" w:space="0" w:color="auto"/>
        <w:bottom w:val="none" w:sz="0" w:space="0" w:color="auto"/>
        <w:right w:val="none" w:sz="0" w:space="0" w:color="auto"/>
      </w:divBdr>
    </w:div>
    <w:div w:id="2130322244">
      <w:bodyDiv w:val="1"/>
      <w:marLeft w:val="0"/>
      <w:marRight w:val="0"/>
      <w:marTop w:val="0"/>
      <w:marBottom w:val="0"/>
      <w:divBdr>
        <w:top w:val="none" w:sz="0" w:space="0" w:color="auto"/>
        <w:left w:val="none" w:sz="0" w:space="0" w:color="auto"/>
        <w:bottom w:val="none" w:sz="0" w:space="0" w:color="auto"/>
        <w:right w:val="none" w:sz="0" w:space="0" w:color="auto"/>
      </w:divBdr>
    </w:div>
    <w:div w:id="21322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nciclopedia-juridica.biz14.com/d/deuda-tributaria/deuda-tributaria.ht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nciclopedia-juridica.biz14.com/d/prescripcion/prescripcio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E0A7-79B8-4247-A931-0CBB6AE9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7889</Words>
  <Characters>43391</Characters>
  <Application>Microsoft Office Word</Application>
  <DocSecurity>4</DocSecurity>
  <Lines>361</Lines>
  <Paragraphs>102</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51178</CharactersWithSpaces>
  <SharedDoc>false</SharedDoc>
  <HLinks>
    <vt:vector size="132" baseType="variant">
      <vt:variant>
        <vt:i4>1769526</vt:i4>
      </vt:variant>
      <vt:variant>
        <vt:i4>128</vt:i4>
      </vt:variant>
      <vt:variant>
        <vt:i4>0</vt:i4>
      </vt:variant>
      <vt:variant>
        <vt:i4>5</vt:i4>
      </vt:variant>
      <vt:variant>
        <vt:lpwstr/>
      </vt:variant>
      <vt:variant>
        <vt:lpwstr>_Toc395686859</vt:lpwstr>
      </vt:variant>
      <vt:variant>
        <vt:i4>1769526</vt:i4>
      </vt:variant>
      <vt:variant>
        <vt:i4>122</vt:i4>
      </vt:variant>
      <vt:variant>
        <vt:i4>0</vt:i4>
      </vt:variant>
      <vt:variant>
        <vt:i4>5</vt:i4>
      </vt:variant>
      <vt:variant>
        <vt:lpwstr/>
      </vt:variant>
      <vt:variant>
        <vt:lpwstr>_Toc395686858</vt:lpwstr>
      </vt:variant>
      <vt:variant>
        <vt:i4>1769526</vt:i4>
      </vt:variant>
      <vt:variant>
        <vt:i4>116</vt:i4>
      </vt:variant>
      <vt:variant>
        <vt:i4>0</vt:i4>
      </vt:variant>
      <vt:variant>
        <vt:i4>5</vt:i4>
      </vt:variant>
      <vt:variant>
        <vt:lpwstr/>
      </vt:variant>
      <vt:variant>
        <vt:lpwstr>_Toc395686857</vt:lpwstr>
      </vt:variant>
      <vt:variant>
        <vt:i4>1769526</vt:i4>
      </vt:variant>
      <vt:variant>
        <vt:i4>110</vt:i4>
      </vt:variant>
      <vt:variant>
        <vt:i4>0</vt:i4>
      </vt:variant>
      <vt:variant>
        <vt:i4>5</vt:i4>
      </vt:variant>
      <vt:variant>
        <vt:lpwstr/>
      </vt:variant>
      <vt:variant>
        <vt:lpwstr>_Toc395686856</vt:lpwstr>
      </vt:variant>
      <vt:variant>
        <vt:i4>1769526</vt:i4>
      </vt:variant>
      <vt:variant>
        <vt:i4>104</vt:i4>
      </vt:variant>
      <vt:variant>
        <vt:i4>0</vt:i4>
      </vt:variant>
      <vt:variant>
        <vt:i4>5</vt:i4>
      </vt:variant>
      <vt:variant>
        <vt:lpwstr/>
      </vt:variant>
      <vt:variant>
        <vt:lpwstr>_Toc395686855</vt:lpwstr>
      </vt:variant>
      <vt:variant>
        <vt:i4>1769526</vt:i4>
      </vt:variant>
      <vt:variant>
        <vt:i4>98</vt:i4>
      </vt:variant>
      <vt:variant>
        <vt:i4>0</vt:i4>
      </vt:variant>
      <vt:variant>
        <vt:i4>5</vt:i4>
      </vt:variant>
      <vt:variant>
        <vt:lpwstr/>
      </vt:variant>
      <vt:variant>
        <vt:lpwstr>_Toc395686854</vt:lpwstr>
      </vt:variant>
      <vt:variant>
        <vt:i4>1769526</vt:i4>
      </vt:variant>
      <vt:variant>
        <vt:i4>92</vt:i4>
      </vt:variant>
      <vt:variant>
        <vt:i4>0</vt:i4>
      </vt:variant>
      <vt:variant>
        <vt:i4>5</vt:i4>
      </vt:variant>
      <vt:variant>
        <vt:lpwstr/>
      </vt:variant>
      <vt:variant>
        <vt:lpwstr>_Toc395686853</vt:lpwstr>
      </vt:variant>
      <vt:variant>
        <vt:i4>1769526</vt:i4>
      </vt:variant>
      <vt:variant>
        <vt:i4>86</vt:i4>
      </vt:variant>
      <vt:variant>
        <vt:i4>0</vt:i4>
      </vt:variant>
      <vt:variant>
        <vt:i4>5</vt:i4>
      </vt:variant>
      <vt:variant>
        <vt:lpwstr/>
      </vt:variant>
      <vt:variant>
        <vt:lpwstr>_Toc395686852</vt:lpwstr>
      </vt:variant>
      <vt:variant>
        <vt:i4>1769526</vt:i4>
      </vt:variant>
      <vt:variant>
        <vt:i4>80</vt:i4>
      </vt:variant>
      <vt:variant>
        <vt:i4>0</vt:i4>
      </vt:variant>
      <vt:variant>
        <vt:i4>5</vt:i4>
      </vt:variant>
      <vt:variant>
        <vt:lpwstr/>
      </vt:variant>
      <vt:variant>
        <vt:lpwstr>_Toc395686851</vt:lpwstr>
      </vt:variant>
      <vt:variant>
        <vt:i4>1769526</vt:i4>
      </vt:variant>
      <vt:variant>
        <vt:i4>74</vt:i4>
      </vt:variant>
      <vt:variant>
        <vt:i4>0</vt:i4>
      </vt:variant>
      <vt:variant>
        <vt:i4>5</vt:i4>
      </vt:variant>
      <vt:variant>
        <vt:lpwstr/>
      </vt:variant>
      <vt:variant>
        <vt:lpwstr>_Toc395686850</vt:lpwstr>
      </vt:variant>
      <vt:variant>
        <vt:i4>1703990</vt:i4>
      </vt:variant>
      <vt:variant>
        <vt:i4>68</vt:i4>
      </vt:variant>
      <vt:variant>
        <vt:i4>0</vt:i4>
      </vt:variant>
      <vt:variant>
        <vt:i4>5</vt:i4>
      </vt:variant>
      <vt:variant>
        <vt:lpwstr/>
      </vt:variant>
      <vt:variant>
        <vt:lpwstr>_Toc395686849</vt:lpwstr>
      </vt:variant>
      <vt:variant>
        <vt:i4>1703990</vt:i4>
      </vt:variant>
      <vt:variant>
        <vt:i4>62</vt:i4>
      </vt:variant>
      <vt:variant>
        <vt:i4>0</vt:i4>
      </vt:variant>
      <vt:variant>
        <vt:i4>5</vt:i4>
      </vt:variant>
      <vt:variant>
        <vt:lpwstr/>
      </vt:variant>
      <vt:variant>
        <vt:lpwstr>_Toc395686848</vt:lpwstr>
      </vt:variant>
      <vt:variant>
        <vt:i4>1703990</vt:i4>
      </vt:variant>
      <vt:variant>
        <vt:i4>56</vt:i4>
      </vt:variant>
      <vt:variant>
        <vt:i4>0</vt:i4>
      </vt:variant>
      <vt:variant>
        <vt:i4>5</vt:i4>
      </vt:variant>
      <vt:variant>
        <vt:lpwstr/>
      </vt:variant>
      <vt:variant>
        <vt:lpwstr>_Toc395686847</vt:lpwstr>
      </vt:variant>
      <vt:variant>
        <vt:i4>1703990</vt:i4>
      </vt:variant>
      <vt:variant>
        <vt:i4>50</vt:i4>
      </vt:variant>
      <vt:variant>
        <vt:i4>0</vt:i4>
      </vt:variant>
      <vt:variant>
        <vt:i4>5</vt:i4>
      </vt:variant>
      <vt:variant>
        <vt:lpwstr/>
      </vt:variant>
      <vt:variant>
        <vt:lpwstr>_Toc395686846</vt:lpwstr>
      </vt:variant>
      <vt:variant>
        <vt:i4>1703990</vt:i4>
      </vt:variant>
      <vt:variant>
        <vt:i4>44</vt:i4>
      </vt:variant>
      <vt:variant>
        <vt:i4>0</vt:i4>
      </vt:variant>
      <vt:variant>
        <vt:i4>5</vt:i4>
      </vt:variant>
      <vt:variant>
        <vt:lpwstr/>
      </vt:variant>
      <vt:variant>
        <vt:lpwstr>_Toc395686845</vt:lpwstr>
      </vt:variant>
      <vt:variant>
        <vt:i4>1703990</vt:i4>
      </vt:variant>
      <vt:variant>
        <vt:i4>38</vt:i4>
      </vt:variant>
      <vt:variant>
        <vt:i4>0</vt:i4>
      </vt:variant>
      <vt:variant>
        <vt:i4>5</vt:i4>
      </vt:variant>
      <vt:variant>
        <vt:lpwstr/>
      </vt:variant>
      <vt:variant>
        <vt:lpwstr>_Toc395686844</vt:lpwstr>
      </vt:variant>
      <vt:variant>
        <vt:i4>1703990</vt:i4>
      </vt:variant>
      <vt:variant>
        <vt:i4>32</vt:i4>
      </vt:variant>
      <vt:variant>
        <vt:i4>0</vt:i4>
      </vt:variant>
      <vt:variant>
        <vt:i4>5</vt:i4>
      </vt:variant>
      <vt:variant>
        <vt:lpwstr/>
      </vt:variant>
      <vt:variant>
        <vt:lpwstr>_Toc395686843</vt:lpwstr>
      </vt:variant>
      <vt:variant>
        <vt:i4>1703990</vt:i4>
      </vt:variant>
      <vt:variant>
        <vt:i4>26</vt:i4>
      </vt:variant>
      <vt:variant>
        <vt:i4>0</vt:i4>
      </vt:variant>
      <vt:variant>
        <vt:i4>5</vt:i4>
      </vt:variant>
      <vt:variant>
        <vt:lpwstr/>
      </vt:variant>
      <vt:variant>
        <vt:lpwstr>_Toc395686842</vt:lpwstr>
      </vt:variant>
      <vt:variant>
        <vt:i4>1703990</vt:i4>
      </vt:variant>
      <vt:variant>
        <vt:i4>20</vt:i4>
      </vt:variant>
      <vt:variant>
        <vt:i4>0</vt:i4>
      </vt:variant>
      <vt:variant>
        <vt:i4>5</vt:i4>
      </vt:variant>
      <vt:variant>
        <vt:lpwstr/>
      </vt:variant>
      <vt:variant>
        <vt:lpwstr>_Toc395686841</vt:lpwstr>
      </vt:variant>
      <vt:variant>
        <vt:i4>1703990</vt:i4>
      </vt:variant>
      <vt:variant>
        <vt:i4>14</vt:i4>
      </vt:variant>
      <vt:variant>
        <vt:i4>0</vt:i4>
      </vt:variant>
      <vt:variant>
        <vt:i4>5</vt:i4>
      </vt:variant>
      <vt:variant>
        <vt:lpwstr/>
      </vt:variant>
      <vt:variant>
        <vt:lpwstr>_Toc395686840</vt:lpwstr>
      </vt:variant>
      <vt:variant>
        <vt:i4>1900598</vt:i4>
      </vt:variant>
      <vt:variant>
        <vt:i4>8</vt:i4>
      </vt:variant>
      <vt:variant>
        <vt:i4>0</vt:i4>
      </vt:variant>
      <vt:variant>
        <vt:i4>5</vt:i4>
      </vt:variant>
      <vt:variant>
        <vt:lpwstr/>
      </vt:variant>
      <vt:variant>
        <vt:lpwstr>_Toc395686839</vt:lpwstr>
      </vt:variant>
      <vt:variant>
        <vt:i4>1900598</vt:i4>
      </vt:variant>
      <vt:variant>
        <vt:i4>2</vt:i4>
      </vt:variant>
      <vt:variant>
        <vt:i4>0</vt:i4>
      </vt:variant>
      <vt:variant>
        <vt:i4>5</vt:i4>
      </vt:variant>
      <vt:variant>
        <vt:lpwstr/>
      </vt:variant>
      <vt:variant>
        <vt:lpwstr>_Toc395686838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D801319</dc:creator>
  <cp:lastModifiedBy>De Santiago, Iñaki</cp:lastModifiedBy>
  <cp:revision>2</cp:revision>
  <cp:lastPrinted>2016-11-04T12:40:00Z</cp:lastPrinted>
  <dcterms:created xsi:type="dcterms:W3CDTF">2016-11-09T07:40:00Z</dcterms:created>
  <dcterms:modified xsi:type="dcterms:W3CDTF">2016-11-09T07:40:00Z</dcterms:modified>
</cp:coreProperties>
</file>