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E5" w:rsidRPr="00AD19A5" w:rsidRDefault="007B05E5" w:rsidP="007B05E5">
      <w:pPr>
        <w:tabs>
          <w:tab w:val="left" w:pos="992"/>
        </w:tabs>
        <w:spacing w:after="300" w:line="340" w:lineRule="exact"/>
        <w:ind w:firstLine="567"/>
        <w:jc w:val="both"/>
        <w:rPr>
          <w:rFonts w:ascii="Arial" w:eastAsia="Times New Roman" w:hAnsi="Arial" w:cs="Arial"/>
          <w:sz w:val="24"/>
          <w:szCs w:val="24"/>
          <w:lang w:eastAsia="es-ES"/>
        </w:rPr>
      </w:pPr>
      <w:r w:rsidRPr="00AD19A5">
        <w:rPr>
          <w:rFonts w:ascii="Arial" w:eastAsia="Times New Roman" w:hAnsi="Arial" w:cs="Arial"/>
          <w:noProof/>
          <w:sz w:val="24"/>
          <w:szCs w:val="24"/>
          <w:lang w:eastAsia="es-ES"/>
        </w:rPr>
        <w:drawing>
          <wp:anchor distT="0" distB="0" distL="114300" distR="114300" simplePos="0" relativeHeight="251660288" behindDoc="0" locked="0" layoutInCell="1" allowOverlap="1" wp14:anchorId="1787D7C3" wp14:editId="516D1BEC">
            <wp:simplePos x="0" y="0"/>
            <wp:positionH relativeFrom="column">
              <wp:posOffset>-544195</wp:posOffset>
            </wp:positionH>
            <wp:positionV relativeFrom="paragraph">
              <wp:posOffset>-426720</wp:posOffset>
            </wp:positionV>
            <wp:extent cx="1579880" cy="1223645"/>
            <wp:effectExtent l="0" t="0" r="1270" b="0"/>
            <wp:wrapNone/>
            <wp:docPr id="2" name="Imagen 2"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5E5" w:rsidRPr="00AD19A5" w:rsidRDefault="007B05E5" w:rsidP="007B05E5">
      <w:pPr>
        <w:tabs>
          <w:tab w:val="left" w:pos="992"/>
        </w:tabs>
        <w:spacing w:after="300" w:line="340" w:lineRule="exact"/>
        <w:ind w:firstLine="567"/>
        <w:jc w:val="both"/>
        <w:rPr>
          <w:rFonts w:ascii="Arial" w:eastAsia="Times New Roman" w:hAnsi="Arial" w:cs="Arial"/>
          <w:sz w:val="24"/>
          <w:szCs w:val="24"/>
          <w:lang w:eastAsia="es-ES"/>
        </w:rPr>
      </w:pPr>
    </w:p>
    <w:p w:rsidR="007B05E5" w:rsidRPr="00AD19A5" w:rsidRDefault="007B05E5" w:rsidP="007B05E5">
      <w:pPr>
        <w:tabs>
          <w:tab w:val="left" w:pos="992"/>
        </w:tabs>
        <w:spacing w:after="300" w:line="340" w:lineRule="exact"/>
        <w:ind w:firstLine="567"/>
        <w:jc w:val="both"/>
        <w:rPr>
          <w:rFonts w:ascii="Arial" w:eastAsia="Times New Roman" w:hAnsi="Arial" w:cs="Arial"/>
          <w:sz w:val="24"/>
          <w:szCs w:val="24"/>
          <w:lang w:eastAsia="es-ES"/>
        </w:rPr>
      </w:pPr>
    </w:p>
    <w:p w:rsidR="007B05E5" w:rsidRPr="00AD19A5" w:rsidRDefault="007B05E5" w:rsidP="007B05E5">
      <w:pPr>
        <w:pStyle w:val="INF-TEXTO"/>
        <w:ind w:left="567" w:right="-1"/>
        <w:rPr>
          <w:rFonts w:cs="Arial"/>
          <w:szCs w:val="24"/>
        </w:rPr>
      </w:pPr>
      <w:r w:rsidRPr="00AD19A5">
        <w:rPr>
          <w:rFonts w:cs="Arial"/>
          <w:szCs w:val="24"/>
        </w:rPr>
        <w:t xml:space="preserve">Don Manuel Pulido Quecedo, Letrado de la Cámara, tiene el honor de elevar a la Junta de Portavoces de la Cámara la siguiente: </w:t>
      </w:r>
    </w:p>
    <w:p w:rsidR="007B05E5" w:rsidRPr="00AD19A5" w:rsidRDefault="007B05E5" w:rsidP="007B05E5">
      <w:pPr>
        <w:pStyle w:val="INF-INFORME"/>
        <w:rPr>
          <w:rFonts w:cs="Arial"/>
          <w:sz w:val="24"/>
          <w:szCs w:val="24"/>
        </w:rPr>
      </w:pPr>
      <w:r w:rsidRPr="00AD19A5">
        <w:rPr>
          <w:rFonts w:cs="Arial"/>
          <w:sz w:val="24"/>
          <w:szCs w:val="24"/>
        </w:rPr>
        <w:t xml:space="preserve">NOTA-INFORME </w:t>
      </w:r>
    </w:p>
    <w:p w:rsidR="007B05E5" w:rsidRPr="00AD19A5" w:rsidRDefault="007B05E5" w:rsidP="007B05E5">
      <w:pPr>
        <w:pStyle w:val="INF-TEXTO"/>
        <w:jc w:val="center"/>
        <w:rPr>
          <w:rFonts w:cs="Arial"/>
          <w:szCs w:val="24"/>
        </w:rPr>
      </w:pPr>
      <w:r w:rsidRPr="00AD19A5">
        <w:rPr>
          <w:rFonts w:cs="Arial"/>
          <w:szCs w:val="24"/>
        </w:rPr>
        <w:t>Sobre la</w:t>
      </w:r>
      <w:r w:rsidR="00ED0FC5" w:rsidRPr="00AD19A5">
        <w:rPr>
          <w:rFonts w:cs="Arial"/>
          <w:szCs w:val="24"/>
        </w:rPr>
        <w:t>s consecuencias jurídicas que supondrían para la Comunidad Foral de Navarra la superación del techo de gasto fijado</w:t>
      </w:r>
      <w:r w:rsidR="00C644CE" w:rsidRPr="00AD19A5">
        <w:rPr>
          <w:rFonts w:cs="Arial"/>
          <w:szCs w:val="24"/>
        </w:rPr>
        <w:t xml:space="preserve"> por el Ministerio de Hacienda</w:t>
      </w:r>
      <w:r w:rsidR="00ED0FC5" w:rsidRPr="00AD19A5">
        <w:rPr>
          <w:rFonts w:cs="Arial"/>
          <w:szCs w:val="24"/>
        </w:rPr>
        <w:t xml:space="preserve"> dada la especial relación financiera con el Estado a través del Convenio Económico</w:t>
      </w:r>
    </w:p>
    <w:p w:rsidR="00C644CE" w:rsidRPr="00947750" w:rsidRDefault="00C644CE" w:rsidP="00C644CE">
      <w:pPr>
        <w:pStyle w:val="INF-TEXTO"/>
        <w:jc w:val="center"/>
        <w:rPr>
          <w:rFonts w:cs="Arial"/>
          <w:b/>
          <w:szCs w:val="24"/>
        </w:rPr>
      </w:pPr>
      <w:r w:rsidRPr="00947750">
        <w:rPr>
          <w:rFonts w:cs="Arial"/>
          <w:b/>
          <w:szCs w:val="24"/>
        </w:rPr>
        <w:t>I</w:t>
      </w:r>
    </w:p>
    <w:p w:rsidR="007B05E5" w:rsidRPr="00AD19A5" w:rsidRDefault="00C644CE" w:rsidP="00C644CE">
      <w:pPr>
        <w:pStyle w:val="INF-TEXTO"/>
        <w:spacing w:after="240"/>
        <w:ind w:right="561"/>
        <w:jc w:val="center"/>
        <w:rPr>
          <w:rFonts w:cs="Arial"/>
          <w:b/>
          <w:caps/>
          <w:szCs w:val="24"/>
        </w:rPr>
      </w:pPr>
      <w:r w:rsidRPr="00AD19A5">
        <w:rPr>
          <w:rFonts w:cs="Arial"/>
          <w:b/>
          <w:caps/>
          <w:szCs w:val="24"/>
        </w:rPr>
        <w:t xml:space="preserve">        </w:t>
      </w:r>
      <w:r w:rsidR="007B05E5" w:rsidRPr="00AD19A5">
        <w:rPr>
          <w:rFonts w:cs="Arial"/>
          <w:b/>
          <w:caps/>
          <w:szCs w:val="24"/>
        </w:rPr>
        <w:t>ANTECEDENTES</w:t>
      </w:r>
    </w:p>
    <w:p w:rsidR="00F97687" w:rsidRPr="00947750" w:rsidRDefault="00947750" w:rsidP="00947750">
      <w:pPr>
        <w:pStyle w:val="OFICIO-12"/>
        <w:spacing w:before="0" w:after="300" w:line="340" w:lineRule="exact"/>
        <w:rPr>
          <w:rFonts w:cs="Arial"/>
          <w:szCs w:val="24"/>
          <w:lang w:val="es-ES"/>
        </w:rPr>
      </w:pPr>
      <w:r w:rsidRPr="00947750">
        <w:rPr>
          <w:rFonts w:cs="Arial"/>
          <w:b/>
          <w:szCs w:val="24"/>
          <w:lang w:val="es-ES"/>
        </w:rPr>
        <w:t>Ú</w:t>
      </w:r>
      <w:r w:rsidR="00250C06" w:rsidRPr="00947750">
        <w:rPr>
          <w:rFonts w:cs="Arial"/>
          <w:b/>
          <w:szCs w:val="24"/>
          <w:lang w:val="es-ES"/>
        </w:rPr>
        <w:t>NICO</w:t>
      </w:r>
      <w:r>
        <w:rPr>
          <w:rFonts w:cs="Arial"/>
          <w:b/>
          <w:szCs w:val="24"/>
          <w:lang w:val="es-ES"/>
        </w:rPr>
        <w:t>.</w:t>
      </w:r>
      <w:r w:rsidR="00E4266D" w:rsidRPr="00947750">
        <w:rPr>
          <w:rFonts w:cs="Arial"/>
          <w:b/>
          <w:szCs w:val="24"/>
          <w:lang w:val="es-ES"/>
        </w:rPr>
        <w:t xml:space="preserve"> </w:t>
      </w:r>
      <w:r w:rsidR="00F97687" w:rsidRPr="00947750">
        <w:rPr>
          <w:rFonts w:cs="Arial"/>
          <w:szCs w:val="24"/>
          <w:lang w:val="es-ES"/>
        </w:rPr>
        <w:t>En sesión celebrada el día 24 de octubre de 2016, la Junta de Portavoces, adoptó, entre otros, el siguiente Acuerdo:</w:t>
      </w:r>
    </w:p>
    <w:p w:rsidR="00F97687" w:rsidRPr="00947750" w:rsidRDefault="00BE40B4" w:rsidP="00BE40B4">
      <w:pPr>
        <w:pStyle w:val="OFICIO-12"/>
        <w:spacing w:before="0" w:after="300" w:line="340" w:lineRule="exact"/>
        <w:ind w:left="426" w:right="566" w:hanging="1"/>
        <w:rPr>
          <w:rFonts w:cs="Arial"/>
          <w:szCs w:val="24"/>
          <w:lang w:val="es-ES"/>
        </w:rPr>
      </w:pPr>
      <w:r>
        <w:rPr>
          <w:rFonts w:cs="Arial"/>
          <w:szCs w:val="24"/>
          <w:lang w:val="es-ES"/>
        </w:rPr>
        <w:t>"</w:t>
      </w:r>
      <w:r w:rsidR="00F97687" w:rsidRPr="00947750">
        <w:rPr>
          <w:rFonts w:cs="Arial"/>
          <w:szCs w:val="24"/>
          <w:lang w:val="es-ES"/>
        </w:rPr>
        <w:t>El Grupo Parlamentario Podemos-Ahal Dugu ha presentado una solicitud para que los Servicios Jurídicos de la Cámara elaboren un informe sobre las consecuencias jurídicas y/o económicas que supondrían para la Comunidad Foral de Navarra la superación del techo de gasto fijado por el Ministerio de Hacienda y sobre las particularidades que tendría el caso de la Comunidad Foral de Navarra en el supuesto de incumplimiento del techo de gasto, dada la especial relación financiera con el Estado a través del Convenio Económico.</w:t>
      </w:r>
    </w:p>
    <w:p w:rsidR="00F97687" w:rsidRPr="00947750" w:rsidRDefault="00F97687" w:rsidP="00BE40B4">
      <w:pPr>
        <w:pStyle w:val="OFICIO-12"/>
        <w:spacing w:before="0" w:after="300" w:line="340" w:lineRule="exact"/>
        <w:ind w:left="426" w:right="566" w:hanging="1"/>
        <w:rPr>
          <w:rFonts w:cs="Arial"/>
          <w:szCs w:val="24"/>
          <w:lang w:val="es-ES"/>
        </w:rPr>
      </w:pPr>
      <w:r w:rsidRPr="00947750">
        <w:rPr>
          <w:rFonts w:cs="Arial"/>
          <w:szCs w:val="24"/>
          <w:lang w:val="es-ES"/>
        </w:rPr>
        <w:t>De conformidad con el art. 11.2 d) del Reglamento de organización de la Administración del Parlamento de Navarra, SE ACUERDA:</w:t>
      </w:r>
    </w:p>
    <w:p w:rsidR="00F97687" w:rsidRPr="00947750" w:rsidRDefault="00F97687" w:rsidP="00BE40B4">
      <w:pPr>
        <w:pStyle w:val="OFICIO-12"/>
        <w:spacing w:before="0" w:after="300" w:line="340" w:lineRule="exact"/>
        <w:ind w:left="426" w:right="566" w:hanging="1"/>
        <w:rPr>
          <w:rFonts w:cs="Arial"/>
          <w:szCs w:val="24"/>
          <w:lang w:val="es-ES"/>
        </w:rPr>
      </w:pPr>
      <w:proofErr w:type="gramStart"/>
      <w:r w:rsidRPr="00947750">
        <w:rPr>
          <w:rFonts w:cs="Arial"/>
          <w:szCs w:val="24"/>
          <w:lang w:val="es-ES"/>
        </w:rPr>
        <w:t>1.º</w:t>
      </w:r>
      <w:proofErr w:type="gramEnd"/>
      <w:r w:rsidRPr="00947750">
        <w:rPr>
          <w:rFonts w:cs="Arial"/>
          <w:szCs w:val="24"/>
          <w:lang w:val="es-ES"/>
        </w:rPr>
        <w:t xml:space="preserve"> Solicitar a los Servicios Jurídicos la emisión de un informe sobre las consecuencias jurídicas y/o económicas que supondrían para la Comunidad Foral de Navarra la superación del techo de gasto fijado por el Ministerio de Hacienda y sobre las particularidades que tendría el caso de la Comunidad Foral de Navarra en el supuesto de </w:t>
      </w:r>
      <w:r w:rsidRPr="00947750">
        <w:rPr>
          <w:rFonts w:cs="Arial"/>
          <w:szCs w:val="24"/>
          <w:lang w:val="es-ES"/>
        </w:rPr>
        <w:lastRenderedPageBreak/>
        <w:t>incumplimiento del techo de gasto, dada la especial relación financiera con el Estado a través del Convenio Económico.</w:t>
      </w:r>
    </w:p>
    <w:p w:rsidR="00947750" w:rsidRDefault="00F97687" w:rsidP="00BE40B4">
      <w:pPr>
        <w:pStyle w:val="OFICIO-12"/>
        <w:spacing w:before="0" w:after="300" w:line="340" w:lineRule="exact"/>
        <w:ind w:left="426" w:right="566" w:hanging="1"/>
        <w:rPr>
          <w:rFonts w:cs="Arial"/>
          <w:szCs w:val="24"/>
          <w:lang w:val="es-ES"/>
        </w:rPr>
      </w:pPr>
      <w:proofErr w:type="gramStart"/>
      <w:r w:rsidRPr="00947750">
        <w:rPr>
          <w:rFonts w:cs="Arial"/>
          <w:szCs w:val="24"/>
          <w:lang w:val="es-ES"/>
        </w:rPr>
        <w:t>2.º</w:t>
      </w:r>
      <w:proofErr w:type="gramEnd"/>
      <w:r w:rsidRPr="00947750">
        <w:rPr>
          <w:rFonts w:cs="Arial"/>
          <w:szCs w:val="24"/>
          <w:lang w:val="es-ES"/>
        </w:rPr>
        <w:t xml:space="preserve"> Trasladar el presente Acuerdo a los Servicios Jurídicos de la Cámara</w:t>
      </w:r>
      <w:r w:rsidR="00BE40B4">
        <w:rPr>
          <w:rFonts w:cs="Arial"/>
          <w:szCs w:val="24"/>
          <w:lang w:val="es-ES"/>
        </w:rPr>
        <w:t>"</w:t>
      </w:r>
      <w:r w:rsidRPr="00947750">
        <w:rPr>
          <w:rFonts w:cs="Arial"/>
          <w:szCs w:val="24"/>
          <w:lang w:val="es-ES"/>
        </w:rPr>
        <w:t>.</w:t>
      </w:r>
    </w:p>
    <w:p w:rsidR="00F97687" w:rsidRPr="00947750" w:rsidRDefault="00947750" w:rsidP="00947750">
      <w:pPr>
        <w:pStyle w:val="OFICIO-12"/>
        <w:tabs>
          <w:tab w:val="left" w:pos="3686"/>
          <w:tab w:val="left" w:pos="3969"/>
        </w:tabs>
        <w:spacing w:before="0" w:after="300" w:line="340" w:lineRule="exact"/>
        <w:rPr>
          <w:rFonts w:cs="Arial"/>
          <w:szCs w:val="24"/>
          <w:lang w:val="es-ES"/>
        </w:rPr>
      </w:pPr>
      <w:r>
        <w:rPr>
          <w:rFonts w:cs="Arial"/>
          <w:szCs w:val="24"/>
          <w:lang w:val="es-ES"/>
        </w:rPr>
        <w:tab/>
      </w:r>
      <w:r>
        <w:rPr>
          <w:rFonts w:cs="Arial"/>
          <w:szCs w:val="24"/>
          <w:lang w:val="es-ES"/>
        </w:rPr>
        <w:tab/>
      </w:r>
      <w:r>
        <w:rPr>
          <w:rFonts w:cs="Arial"/>
          <w:szCs w:val="24"/>
          <w:lang w:val="es-ES"/>
        </w:rPr>
        <w:tab/>
      </w:r>
      <w:r w:rsidR="002711FF" w:rsidRPr="00AD19A5">
        <w:rPr>
          <w:rFonts w:cs="Arial"/>
          <w:b/>
          <w:szCs w:val="24"/>
        </w:rPr>
        <w:t>II</w:t>
      </w:r>
    </w:p>
    <w:p w:rsidR="007B05E5" w:rsidRPr="00AD19A5" w:rsidRDefault="007B05E5" w:rsidP="007B05E5">
      <w:pPr>
        <w:pStyle w:val="INF-INFORME"/>
        <w:rPr>
          <w:rFonts w:cs="Arial"/>
          <w:sz w:val="24"/>
          <w:szCs w:val="24"/>
        </w:rPr>
      </w:pPr>
      <w:r w:rsidRPr="00AD19A5">
        <w:rPr>
          <w:rFonts w:cs="Arial"/>
          <w:sz w:val="24"/>
          <w:szCs w:val="24"/>
        </w:rPr>
        <w:t>FUNDAMENTOS JURÍDICOS</w:t>
      </w:r>
    </w:p>
    <w:p w:rsidR="007B05E5" w:rsidRPr="00AD19A5" w:rsidRDefault="00F6381E" w:rsidP="007741A0">
      <w:pPr>
        <w:pStyle w:val="INF-TEXTO"/>
        <w:spacing w:after="240"/>
        <w:rPr>
          <w:rFonts w:cs="Arial"/>
          <w:szCs w:val="24"/>
        </w:rPr>
      </w:pPr>
      <w:r w:rsidRPr="00AD19A5">
        <w:rPr>
          <w:rFonts w:cs="Arial"/>
          <w:b/>
          <w:caps/>
          <w:szCs w:val="24"/>
        </w:rPr>
        <w:t>P</w:t>
      </w:r>
      <w:r w:rsidR="00AD19A5" w:rsidRPr="00AD19A5">
        <w:rPr>
          <w:rFonts w:cs="Arial"/>
          <w:b/>
          <w:szCs w:val="24"/>
        </w:rPr>
        <w:t>rimero</w:t>
      </w:r>
      <w:r w:rsidRPr="00AD19A5">
        <w:rPr>
          <w:rFonts w:cs="Arial"/>
          <w:b/>
          <w:caps/>
          <w:szCs w:val="24"/>
        </w:rPr>
        <w:t xml:space="preserve">: </w:t>
      </w:r>
      <w:r w:rsidR="002711FF" w:rsidRPr="00AD19A5">
        <w:rPr>
          <w:rFonts w:cs="Arial"/>
          <w:caps/>
          <w:szCs w:val="24"/>
        </w:rPr>
        <w:t>L</w:t>
      </w:r>
      <w:r w:rsidR="00AD19A5" w:rsidRPr="007A25B3">
        <w:rPr>
          <w:rFonts w:cs="Arial"/>
          <w:szCs w:val="24"/>
        </w:rPr>
        <w:t>a</w:t>
      </w:r>
      <w:r w:rsidR="007B05E5" w:rsidRPr="007A25B3">
        <w:rPr>
          <w:rFonts w:cs="Arial"/>
          <w:szCs w:val="24"/>
        </w:rPr>
        <w:t xml:space="preserve"> </w:t>
      </w:r>
      <w:r w:rsidR="007B05E5" w:rsidRPr="00AD19A5">
        <w:rPr>
          <w:rFonts w:cs="Arial"/>
          <w:szCs w:val="24"/>
        </w:rPr>
        <w:t xml:space="preserve">presente </w:t>
      </w:r>
      <w:r w:rsidR="007B05E5" w:rsidRPr="00AD19A5">
        <w:rPr>
          <w:rFonts w:cs="Arial"/>
          <w:i/>
          <w:szCs w:val="24"/>
        </w:rPr>
        <w:t>Nota-Informe</w:t>
      </w:r>
      <w:r w:rsidR="007B05E5" w:rsidRPr="00AD19A5">
        <w:rPr>
          <w:rFonts w:cs="Arial"/>
          <w:szCs w:val="24"/>
        </w:rPr>
        <w:t xml:space="preserve"> tiene por objeto dar respuesta a la cuestión planteada </w:t>
      </w:r>
      <w:r w:rsidR="00AE193B" w:rsidRPr="00AD19A5">
        <w:rPr>
          <w:rFonts w:cs="Arial"/>
          <w:szCs w:val="24"/>
        </w:rPr>
        <w:t>sobre las consecuencias deriva</w:t>
      </w:r>
      <w:r w:rsidR="009421A8">
        <w:rPr>
          <w:rFonts w:cs="Arial"/>
          <w:szCs w:val="24"/>
        </w:rPr>
        <w:t>da</w:t>
      </w:r>
      <w:r w:rsidR="00AE193B" w:rsidRPr="00AD19A5">
        <w:rPr>
          <w:rFonts w:cs="Arial"/>
          <w:szCs w:val="24"/>
        </w:rPr>
        <w:t>s del incumplimiento del techo de gasto fijad</w:t>
      </w:r>
      <w:r w:rsidR="00B34C2F">
        <w:rPr>
          <w:rFonts w:cs="Arial"/>
          <w:szCs w:val="24"/>
        </w:rPr>
        <w:t>o, según se dice,</w:t>
      </w:r>
      <w:r w:rsidR="00AE193B" w:rsidRPr="00AD19A5">
        <w:rPr>
          <w:rFonts w:cs="Arial"/>
          <w:szCs w:val="24"/>
        </w:rPr>
        <w:t xml:space="preserve"> por el Ministerio de Hacienda </w:t>
      </w:r>
      <w:r w:rsidR="00910F27" w:rsidRPr="00AD19A5">
        <w:rPr>
          <w:rFonts w:cs="Arial"/>
          <w:szCs w:val="24"/>
        </w:rPr>
        <w:t>y especialmente</w:t>
      </w:r>
      <w:r w:rsidR="009421A8">
        <w:rPr>
          <w:rFonts w:cs="Arial"/>
          <w:szCs w:val="24"/>
        </w:rPr>
        <w:t xml:space="preserve"> de</w:t>
      </w:r>
      <w:r w:rsidR="00910F27" w:rsidRPr="00AD19A5">
        <w:rPr>
          <w:rFonts w:cs="Arial"/>
          <w:szCs w:val="24"/>
        </w:rPr>
        <w:t xml:space="preserve"> las consecuencias sobrevenidas para Navarra en virtud de su régimen de Convenio económico. </w:t>
      </w:r>
    </w:p>
    <w:p w:rsidR="00910F27" w:rsidRPr="00AD19A5" w:rsidRDefault="00910F27" w:rsidP="00E15CDD">
      <w:pPr>
        <w:pStyle w:val="OFICIO-12"/>
        <w:spacing w:before="0" w:after="300" w:line="340" w:lineRule="exact"/>
        <w:rPr>
          <w:rFonts w:cs="Arial"/>
          <w:szCs w:val="24"/>
          <w:lang w:val="es-ES"/>
        </w:rPr>
      </w:pPr>
      <w:r w:rsidRPr="00AD19A5">
        <w:rPr>
          <w:rFonts w:cs="Arial"/>
          <w:szCs w:val="24"/>
          <w:lang w:val="es-ES"/>
        </w:rPr>
        <w:t xml:space="preserve">Antes de entrar en el examen de las cuestiones planteadas conviene precisar algunos aspectos </w:t>
      </w:r>
      <w:r w:rsidR="00B52CAA" w:rsidRPr="00AD19A5">
        <w:rPr>
          <w:rFonts w:cs="Arial"/>
          <w:szCs w:val="24"/>
          <w:lang w:val="es-ES"/>
        </w:rPr>
        <w:t>conceptuales que permitan esclarecer las</w:t>
      </w:r>
      <w:r w:rsidRPr="00AD19A5">
        <w:rPr>
          <w:rFonts w:cs="Arial"/>
          <w:szCs w:val="24"/>
          <w:lang w:val="es-ES"/>
        </w:rPr>
        <w:t xml:space="preserve"> </w:t>
      </w:r>
      <w:r w:rsidR="00B52CAA" w:rsidRPr="00AD19A5">
        <w:rPr>
          <w:rFonts w:cs="Arial"/>
          <w:szCs w:val="24"/>
          <w:lang w:val="es-ES"/>
        </w:rPr>
        <w:t>dudas suscitadas.</w:t>
      </w:r>
    </w:p>
    <w:p w:rsidR="00A65870" w:rsidRPr="00AD19A5" w:rsidRDefault="00A444FF" w:rsidP="00E15CDD">
      <w:pPr>
        <w:pStyle w:val="OFICIO-12"/>
        <w:spacing w:before="0" w:after="300" w:line="340" w:lineRule="exact"/>
        <w:rPr>
          <w:rFonts w:cs="Arial"/>
          <w:szCs w:val="24"/>
          <w:lang w:val="es-ES"/>
        </w:rPr>
      </w:pPr>
      <w:r w:rsidRPr="00AD19A5">
        <w:rPr>
          <w:rFonts w:cs="Arial"/>
          <w:szCs w:val="24"/>
          <w:lang w:val="es-ES"/>
        </w:rPr>
        <w:t xml:space="preserve">En primer lugar, debe recordarse que el tradicional </w:t>
      </w:r>
      <w:r w:rsidRPr="00B34C2F">
        <w:rPr>
          <w:rFonts w:cs="Arial"/>
          <w:i/>
          <w:szCs w:val="24"/>
          <w:lang w:val="es-ES"/>
        </w:rPr>
        <w:t>ciclo presupuestario del Estado</w:t>
      </w:r>
      <w:r w:rsidRPr="00AD19A5">
        <w:rPr>
          <w:rFonts w:cs="Arial"/>
          <w:szCs w:val="24"/>
          <w:lang w:val="es-ES"/>
        </w:rPr>
        <w:t xml:space="preserve"> ha sido complementado </w:t>
      </w:r>
      <w:r w:rsidR="006D171C" w:rsidRPr="00AD19A5">
        <w:rPr>
          <w:rFonts w:cs="Arial"/>
          <w:szCs w:val="24"/>
          <w:lang w:val="es-ES"/>
        </w:rPr>
        <w:t>tras la entrada e</w:t>
      </w:r>
      <w:r w:rsidR="00B621C8" w:rsidRPr="00AD19A5">
        <w:rPr>
          <w:rFonts w:cs="Arial"/>
          <w:szCs w:val="24"/>
          <w:lang w:val="es-ES"/>
        </w:rPr>
        <w:t>n vigor</w:t>
      </w:r>
      <w:r w:rsidR="00D30C13">
        <w:rPr>
          <w:rFonts w:cs="Arial"/>
          <w:szCs w:val="24"/>
          <w:lang w:val="es-ES"/>
        </w:rPr>
        <w:t xml:space="preserve"> de</w:t>
      </w:r>
      <w:r w:rsidR="00B621C8" w:rsidRPr="00AD19A5">
        <w:rPr>
          <w:rFonts w:cs="Arial"/>
          <w:szCs w:val="24"/>
          <w:lang w:val="es-ES"/>
        </w:rPr>
        <w:t xml:space="preserve"> la R</w:t>
      </w:r>
      <w:r w:rsidR="00D33C02" w:rsidRPr="00AD19A5">
        <w:rPr>
          <w:rFonts w:cs="Arial"/>
          <w:szCs w:val="24"/>
          <w:lang w:val="es-ES"/>
        </w:rPr>
        <w:t>eforma del artículo</w:t>
      </w:r>
      <w:r w:rsidR="00D30C13">
        <w:rPr>
          <w:rFonts w:cs="Arial"/>
          <w:szCs w:val="24"/>
          <w:lang w:val="es-ES"/>
        </w:rPr>
        <w:t xml:space="preserve"> 135 de la CE y</w:t>
      </w:r>
      <w:r w:rsidR="00B34C2F">
        <w:rPr>
          <w:rFonts w:cs="Arial"/>
          <w:szCs w:val="24"/>
          <w:lang w:val="es-ES"/>
        </w:rPr>
        <w:t xml:space="preserve"> </w:t>
      </w:r>
      <w:r w:rsidR="00D30C13">
        <w:rPr>
          <w:rFonts w:cs="Arial"/>
          <w:szCs w:val="24"/>
          <w:lang w:val="es-ES"/>
        </w:rPr>
        <w:t>de</w:t>
      </w:r>
      <w:r w:rsidR="00B34C2F">
        <w:rPr>
          <w:rFonts w:cs="Arial"/>
          <w:szCs w:val="24"/>
          <w:lang w:val="es-ES"/>
        </w:rPr>
        <w:t xml:space="preserve"> </w:t>
      </w:r>
      <w:r w:rsidR="00B621C8" w:rsidRPr="00AD19A5">
        <w:rPr>
          <w:rFonts w:cs="Arial"/>
          <w:szCs w:val="24"/>
          <w:lang w:val="es-ES"/>
        </w:rPr>
        <w:t xml:space="preserve">la Ley </w:t>
      </w:r>
      <w:r w:rsidR="00D33C02" w:rsidRPr="00AD19A5">
        <w:rPr>
          <w:rFonts w:cs="Arial"/>
          <w:szCs w:val="24"/>
          <w:lang w:val="es-ES"/>
        </w:rPr>
        <w:t>Orgánica 2/2012,</w:t>
      </w:r>
      <w:r w:rsidR="00634235" w:rsidRPr="00AD19A5">
        <w:rPr>
          <w:rFonts w:cs="Arial"/>
          <w:szCs w:val="24"/>
          <w:lang w:val="es-ES"/>
        </w:rPr>
        <w:t xml:space="preserve"> de 27 de abril, de </w:t>
      </w:r>
      <w:r w:rsidR="00634235" w:rsidRPr="00AD19A5">
        <w:rPr>
          <w:rFonts w:cs="Arial"/>
          <w:i/>
          <w:szCs w:val="24"/>
          <w:lang w:val="es-ES"/>
        </w:rPr>
        <w:t>Estabilidad presupuestaria y sostenibilidad financiera</w:t>
      </w:r>
      <w:r w:rsidR="00D30C13">
        <w:rPr>
          <w:rFonts w:cs="Arial"/>
          <w:szCs w:val="24"/>
          <w:lang w:val="es-ES"/>
        </w:rPr>
        <w:t xml:space="preserve">. Dichas disposiciones han </w:t>
      </w:r>
      <w:r w:rsidR="00634235" w:rsidRPr="00AD19A5">
        <w:rPr>
          <w:rFonts w:cs="Arial"/>
          <w:szCs w:val="24"/>
          <w:lang w:val="es-ES"/>
        </w:rPr>
        <w:t>int</w:t>
      </w:r>
      <w:r w:rsidR="00A65870" w:rsidRPr="00AD19A5">
        <w:rPr>
          <w:rFonts w:cs="Arial"/>
          <w:szCs w:val="24"/>
          <w:lang w:val="es-ES"/>
        </w:rPr>
        <w:t xml:space="preserve">roducido </w:t>
      </w:r>
      <w:r w:rsidR="00634235" w:rsidRPr="00AD19A5">
        <w:rPr>
          <w:rFonts w:cs="Arial"/>
          <w:szCs w:val="24"/>
          <w:lang w:val="es-ES"/>
        </w:rPr>
        <w:t xml:space="preserve">el </w:t>
      </w:r>
      <w:r w:rsidR="00634235" w:rsidRPr="00AD19A5">
        <w:rPr>
          <w:rFonts w:cs="Arial"/>
          <w:i/>
          <w:szCs w:val="24"/>
          <w:lang w:val="es-ES"/>
        </w:rPr>
        <w:t>principio de estabilidad presupuestaria</w:t>
      </w:r>
      <w:r w:rsidR="00634235" w:rsidRPr="00AD19A5">
        <w:rPr>
          <w:rFonts w:cs="Arial"/>
          <w:szCs w:val="24"/>
          <w:lang w:val="es-ES"/>
        </w:rPr>
        <w:t>,</w:t>
      </w:r>
      <w:r w:rsidR="00A65870" w:rsidRPr="00AD19A5">
        <w:rPr>
          <w:rFonts w:cs="Arial"/>
          <w:szCs w:val="24"/>
          <w:lang w:val="es-ES"/>
        </w:rPr>
        <w:t xml:space="preserve"> </w:t>
      </w:r>
      <w:r w:rsidR="00634235" w:rsidRPr="00AD19A5">
        <w:rPr>
          <w:rFonts w:cs="Arial"/>
          <w:szCs w:val="24"/>
          <w:lang w:val="es-ES"/>
        </w:rPr>
        <w:t>síntesis conc</w:t>
      </w:r>
      <w:r w:rsidR="00A65870" w:rsidRPr="00AD19A5">
        <w:rPr>
          <w:rFonts w:cs="Arial"/>
          <w:szCs w:val="24"/>
          <w:lang w:val="es-ES"/>
        </w:rPr>
        <w:t>eptual de una serie de reglas y pr</w:t>
      </w:r>
      <w:r w:rsidR="00634235" w:rsidRPr="00AD19A5">
        <w:rPr>
          <w:rFonts w:cs="Arial"/>
          <w:szCs w:val="24"/>
          <w:lang w:val="es-ES"/>
        </w:rPr>
        <w:t>ocedimie</w:t>
      </w:r>
      <w:r w:rsidR="00A65870" w:rsidRPr="00AD19A5">
        <w:rPr>
          <w:rFonts w:cs="Arial"/>
          <w:szCs w:val="24"/>
          <w:lang w:val="es-ES"/>
        </w:rPr>
        <w:t>ntos técnicos en materia presupuestaria</w:t>
      </w:r>
      <w:r w:rsidR="006D171C" w:rsidRPr="00AD19A5">
        <w:rPr>
          <w:rFonts w:cs="Arial"/>
          <w:szCs w:val="24"/>
          <w:lang w:val="es-ES"/>
        </w:rPr>
        <w:t>.</w:t>
      </w:r>
    </w:p>
    <w:p w:rsidR="00DE110D" w:rsidRPr="00AD19A5" w:rsidRDefault="00B34C2F" w:rsidP="00E15CDD">
      <w:pPr>
        <w:pStyle w:val="OFICIO-12"/>
        <w:spacing w:before="0" w:after="300" w:line="340" w:lineRule="exact"/>
        <w:rPr>
          <w:rFonts w:cs="Arial"/>
          <w:i/>
          <w:szCs w:val="24"/>
          <w:lang w:val="es-ES"/>
        </w:rPr>
      </w:pPr>
      <w:r>
        <w:rPr>
          <w:rFonts w:cs="Arial"/>
          <w:szCs w:val="24"/>
          <w:lang w:val="es-ES"/>
        </w:rPr>
        <w:t>De tal suerte</w:t>
      </w:r>
      <w:r w:rsidR="00D30C13">
        <w:rPr>
          <w:rFonts w:cs="Arial"/>
          <w:szCs w:val="24"/>
          <w:lang w:val="es-ES"/>
        </w:rPr>
        <w:t>,</w:t>
      </w:r>
      <w:r>
        <w:rPr>
          <w:rFonts w:cs="Arial"/>
          <w:szCs w:val="24"/>
          <w:lang w:val="es-ES"/>
        </w:rPr>
        <w:t xml:space="preserve"> que </w:t>
      </w:r>
      <w:r w:rsidR="006D171C" w:rsidRPr="00AD19A5">
        <w:rPr>
          <w:rFonts w:cs="Arial"/>
          <w:szCs w:val="24"/>
          <w:lang w:val="es-ES"/>
        </w:rPr>
        <w:t xml:space="preserve">la potestad de elaborar los PGE por el </w:t>
      </w:r>
      <w:r w:rsidR="005A61F9" w:rsidRPr="00AD19A5">
        <w:rPr>
          <w:rFonts w:cs="Arial"/>
          <w:szCs w:val="24"/>
          <w:lang w:val="es-ES"/>
        </w:rPr>
        <w:t>G</w:t>
      </w:r>
      <w:r w:rsidR="00D30C13">
        <w:rPr>
          <w:rFonts w:cs="Arial"/>
          <w:szCs w:val="24"/>
          <w:lang w:val="es-ES"/>
        </w:rPr>
        <w:t>obierno de la Nación se ha visto limitada</w:t>
      </w:r>
      <w:r w:rsidR="009E334C" w:rsidRPr="00AD19A5">
        <w:rPr>
          <w:rFonts w:cs="Arial"/>
          <w:szCs w:val="24"/>
          <w:lang w:val="es-ES"/>
        </w:rPr>
        <w:t xml:space="preserve"> </w:t>
      </w:r>
      <w:r w:rsidR="006D171C" w:rsidRPr="00AD19A5">
        <w:rPr>
          <w:rFonts w:cs="Arial"/>
          <w:szCs w:val="24"/>
          <w:lang w:val="es-ES"/>
        </w:rPr>
        <w:t>por las exigencias del G</w:t>
      </w:r>
      <w:r w:rsidR="009E334C" w:rsidRPr="00AD19A5">
        <w:rPr>
          <w:rFonts w:cs="Arial"/>
          <w:szCs w:val="24"/>
          <w:lang w:val="es-ES"/>
        </w:rPr>
        <w:t xml:space="preserve">obierno </w:t>
      </w:r>
      <w:r w:rsidR="006D171C" w:rsidRPr="00AD19A5">
        <w:rPr>
          <w:rFonts w:cs="Arial"/>
          <w:szCs w:val="24"/>
          <w:lang w:val="es-ES"/>
        </w:rPr>
        <w:t>económico de la UE, en esp</w:t>
      </w:r>
      <w:r w:rsidR="009E334C" w:rsidRPr="00AD19A5">
        <w:rPr>
          <w:rFonts w:cs="Arial"/>
          <w:szCs w:val="24"/>
          <w:lang w:val="es-ES"/>
        </w:rPr>
        <w:t>e</w:t>
      </w:r>
      <w:r w:rsidR="006D171C" w:rsidRPr="00AD19A5">
        <w:rPr>
          <w:rFonts w:cs="Arial"/>
          <w:szCs w:val="24"/>
          <w:lang w:val="es-ES"/>
        </w:rPr>
        <w:t>cial por las di</w:t>
      </w:r>
      <w:r w:rsidR="009E334C" w:rsidRPr="00AD19A5">
        <w:rPr>
          <w:rFonts w:cs="Arial"/>
          <w:szCs w:val="24"/>
          <w:lang w:val="es-ES"/>
        </w:rPr>
        <w:t>sposiciones contempladas e</w:t>
      </w:r>
      <w:r w:rsidR="006D171C" w:rsidRPr="00AD19A5">
        <w:rPr>
          <w:rFonts w:cs="Arial"/>
          <w:szCs w:val="24"/>
          <w:lang w:val="es-ES"/>
        </w:rPr>
        <w:t>n el art</w:t>
      </w:r>
      <w:r w:rsidR="005A61F9" w:rsidRPr="00AD19A5">
        <w:rPr>
          <w:rFonts w:cs="Arial"/>
          <w:szCs w:val="24"/>
          <w:lang w:val="es-ES"/>
        </w:rPr>
        <w:t>í</w:t>
      </w:r>
      <w:r w:rsidR="009E334C" w:rsidRPr="00AD19A5">
        <w:rPr>
          <w:rFonts w:cs="Arial"/>
          <w:szCs w:val="24"/>
          <w:lang w:val="es-ES"/>
        </w:rPr>
        <w:t xml:space="preserve">culo </w:t>
      </w:r>
      <w:r w:rsidR="006D171C" w:rsidRPr="00AD19A5">
        <w:rPr>
          <w:rFonts w:cs="Arial"/>
          <w:szCs w:val="24"/>
          <w:lang w:val="es-ES"/>
        </w:rPr>
        <w:t xml:space="preserve">136 </w:t>
      </w:r>
      <w:r w:rsidR="006D171C" w:rsidRPr="00AD19A5">
        <w:rPr>
          <w:rFonts w:cs="Arial"/>
          <w:b/>
          <w:szCs w:val="24"/>
          <w:lang w:val="es-ES"/>
        </w:rPr>
        <w:t xml:space="preserve">del </w:t>
      </w:r>
      <w:r w:rsidR="009E334C" w:rsidRPr="00AD19A5">
        <w:rPr>
          <w:rFonts w:cs="Arial"/>
          <w:b/>
          <w:szCs w:val="24"/>
          <w:lang w:val="es-ES"/>
        </w:rPr>
        <w:t xml:space="preserve">Tratado </w:t>
      </w:r>
      <w:r w:rsidR="006D171C" w:rsidRPr="00AD19A5">
        <w:rPr>
          <w:rFonts w:cs="Arial"/>
          <w:b/>
          <w:szCs w:val="24"/>
          <w:lang w:val="es-ES"/>
        </w:rPr>
        <w:t xml:space="preserve"> del </w:t>
      </w:r>
      <w:r w:rsidR="009E334C" w:rsidRPr="00AD19A5">
        <w:rPr>
          <w:rFonts w:cs="Arial"/>
          <w:b/>
          <w:szCs w:val="24"/>
          <w:lang w:val="es-ES"/>
        </w:rPr>
        <w:t>F</w:t>
      </w:r>
      <w:r w:rsidR="006D171C" w:rsidRPr="00AD19A5">
        <w:rPr>
          <w:rFonts w:cs="Arial"/>
          <w:b/>
          <w:szCs w:val="24"/>
          <w:lang w:val="es-ES"/>
        </w:rPr>
        <w:t>uncionamiento de la Unión Europea</w:t>
      </w:r>
      <w:r w:rsidR="009E334C" w:rsidRPr="00AD19A5">
        <w:rPr>
          <w:rFonts w:cs="Arial"/>
          <w:szCs w:val="24"/>
          <w:lang w:val="es-ES"/>
        </w:rPr>
        <w:t xml:space="preserve"> y por los Reglament</w:t>
      </w:r>
      <w:r w:rsidR="006D171C" w:rsidRPr="00AD19A5">
        <w:rPr>
          <w:rFonts w:cs="Arial"/>
          <w:szCs w:val="24"/>
          <w:lang w:val="es-ES"/>
        </w:rPr>
        <w:t xml:space="preserve">os </w:t>
      </w:r>
      <w:r w:rsidR="006D171C" w:rsidRPr="00B34C2F">
        <w:rPr>
          <w:rFonts w:cs="Arial"/>
          <w:b/>
          <w:szCs w:val="24"/>
          <w:lang w:val="es-ES"/>
        </w:rPr>
        <w:t>473/2013</w:t>
      </w:r>
      <w:r w:rsidR="006D171C" w:rsidRPr="00AD19A5">
        <w:rPr>
          <w:rFonts w:cs="Arial"/>
          <w:szCs w:val="24"/>
          <w:lang w:val="es-ES"/>
        </w:rPr>
        <w:t xml:space="preserve">, sobre </w:t>
      </w:r>
      <w:r w:rsidR="009E334C" w:rsidRPr="00AD19A5">
        <w:rPr>
          <w:rFonts w:cs="Arial"/>
          <w:i/>
          <w:szCs w:val="24"/>
          <w:lang w:val="es-ES"/>
        </w:rPr>
        <w:t xml:space="preserve">Disposiciones </w:t>
      </w:r>
      <w:r w:rsidR="006D171C" w:rsidRPr="00AD19A5">
        <w:rPr>
          <w:rFonts w:cs="Arial"/>
          <w:i/>
          <w:szCs w:val="24"/>
          <w:lang w:val="es-ES"/>
        </w:rPr>
        <w:t xml:space="preserve">comunes para el seguimiento y la evolución </w:t>
      </w:r>
      <w:r w:rsidR="009E334C" w:rsidRPr="00AD19A5">
        <w:rPr>
          <w:rFonts w:cs="Arial"/>
          <w:i/>
          <w:szCs w:val="24"/>
          <w:lang w:val="es-ES"/>
        </w:rPr>
        <w:t xml:space="preserve">de los Proyectos de Planes </w:t>
      </w:r>
      <w:r w:rsidR="005A61F9" w:rsidRPr="00AD19A5">
        <w:rPr>
          <w:rFonts w:cs="Arial"/>
          <w:i/>
          <w:szCs w:val="24"/>
          <w:lang w:val="es-ES"/>
        </w:rPr>
        <w:t xml:space="preserve">Presupuestarios  y para la corrección de déficits excesivos de los estados miembros de la  zona euro y </w:t>
      </w:r>
      <w:r w:rsidR="005A61F9" w:rsidRPr="00B34C2F">
        <w:rPr>
          <w:rFonts w:cs="Arial"/>
          <w:b/>
          <w:szCs w:val="24"/>
          <w:lang w:val="es-ES"/>
        </w:rPr>
        <w:t>472/2013</w:t>
      </w:r>
      <w:r w:rsidR="005A61F9" w:rsidRPr="00AD19A5">
        <w:rPr>
          <w:rFonts w:cs="Arial"/>
          <w:i/>
          <w:szCs w:val="24"/>
          <w:lang w:val="es-ES"/>
        </w:rPr>
        <w:t>, sobre el reforzamiento de la supervisión económica  y presupuestaria, cuya estabilidad financiera experimente  o pu</w:t>
      </w:r>
      <w:r w:rsidR="00DE110D" w:rsidRPr="00AD19A5">
        <w:rPr>
          <w:rFonts w:cs="Arial"/>
          <w:i/>
          <w:szCs w:val="24"/>
          <w:lang w:val="es-ES"/>
        </w:rPr>
        <w:t>e</w:t>
      </w:r>
      <w:r w:rsidR="005A61F9" w:rsidRPr="00AD19A5">
        <w:rPr>
          <w:rFonts w:cs="Arial"/>
          <w:i/>
          <w:szCs w:val="24"/>
          <w:lang w:val="es-ES"/>
        </w:rPr>
        <w:t>da experimentar</w:t>
      </w:r>
      <w:r w:rsidR="00DE110D" w:rsidRPr="00AD19A5">
        <w:rPr>
          <w:rFonts w:cs="Arial"/>
          <w:i/>
          <w:szCs w:val="24"/>
          <w:lang w:val="es-ES"/>
        </w:rPr>
        <w:t xml:space="preserve"> el riesgo de experimentar graves dificultades.</w:t>
      </w:r>
    </w:p>
    <w:p w:rsidR="005F19E5" w:rsidRDefault="00DE110D" w:rsidP="00E15CDD">
      <w:pPr>
        <w:pStyle w:val="OFICIO-12"/>
        <w:spacing w:before="0" w:after="300" w:line="340" w:lineRule="exact"/>
        <w:rPr>
          <w:rFonts w:cs="Arial"/>
          <w:szCs w:val="24"/>
          <w:lang w:val="es-ES"/>
        </w:rPr>
      </w:pPr>
      <w:r w:rsidRPr="00AD19A5">
        <w:rPr>
          <w:rFonts w:cs="Arial"/>
          <w:szCs w:val="24"/>
          <w:lang w:val="es-ES"/>
        </w:rPr>
        <w:t>En definitiva</w:t>
      </w:r>
      <w:r w:rsidR="00B34C2F">
        <w:rPr>
          <w:rFonts w:cs="Arial"/>
          <w:szCs w:val="24"/>
          <w:lang w:val="es-ES"/>
        </w:rPr>
        <w:t>,</w:t>
      </w:r>
      <w:r w:rsidRPr="00AD19A5">
        <w:rPr>
          <w:rFonts w:cs="Arial"/>
          <w:szCs w:val="24"/>
          <w:lang w:val="es-ES"/>
        </w:rPr>
        <w:t xml:space="preserve"> este conjunto de disp</w:t>
      </w:r>
      <w:r w:rsidR="00A93624" w:rsidRPr="00AD19A5">
        <w:rPr>
          <w:rFonts w:cs="Arial"/>
          <w:szCs w:val="24"/>
          <w:lang w:val="es-ES"/>
        </w:rPr>
        <w:t xml:space="preserve">osiciones de la </w:t>
      </w:r>
      <w:r w:rsidRPr="00AD19A5">
        <w:rPr>
          <w:rFonts w:cs="Arial"/>
          <w:szCs w:val="24"/>
          <w:lang w:val="es-ES"/>
        </w:rPr>
        <w:t>UE junto con el m</w:t>
      </w:r>
      <w:r w:rsidR="00A93624" w:rsidRPr="00AD19A5">
        <w:rPr>
          <w:rFonts w:cs="Arial"/>
          <w:szCs w:val="24"/>
          <w:lang w:val="es-ES"/>
        </w:rPr>
        <w:t>a</w:t>
      </w:r>
      <w:r w:rsidRPr="00AD19A5">
        <w:rPr>
          <w:rFonts w:cs="Arial"/>
          <w:szCs w:val="24"/>
          <w:lang w:val="es-ES"/>
        </w:rPr>
        <w:t>rco gen</w:t>
      </w:r>
      <w:r w:rsidR="00A93624" w:rsidRPr="00AD19A5">
        <w:rPr>
          <w:rFonts w:cs="Arial"/>
          <w:szCs w:val="24"/>
          <w:lang w:val="es-ES"/>
        </w:rPr>
        <w:t>e</w:t>
      </w:r>
      <w:r w:rsidRPr="00AD19A5">
        <w:rPr>
          <w:rFonts w:cs="Arial"/>
          <w:szCs w:val="24"/>
          <w:lang w:val="es-ES"/>
        </w:rPr>
        <w:t>ral estable</w:t>
      </w:r>
      <w:r w:rsidR="00A93624" w:rsidRPr="00AD19A5">
        <w:rPr>
          <w:rFonts w:cs="Arial"/>
          <w:szCs w:val="24"/>
          <w:lang w:val="es-ES"/>
        </w:rPr>
        <w:t xml:space="preserve">cido </w:t>
      </w:r>
      <w:r w:rsidRPr="00AD19A5">
        <w:rPr>
          <w:rFonts w:cs="Arial"/>
          <w:szCs w:val="24"/>
          <w:lang w:val="es-ES"/>
        </w:rPr>
        <w:t>en el ll</w:t>
      </w:r>
      <w:r w:rsidR="00A93624" w:rsidRPr="00AD19A5">
        <w:rPr>
          <w:rFonts w:cs="Arial"/>
          <w:szCs w:val="24"/>
          <w:lang w:val="es-ES"/>
        </w:rPr>
        <w:t>a</w:t>
      </w:r>
      <w:r w:rsidRPr="00AD19A5">
        <w:rPr>
          <w:rFonts w:cs="Arial"/>
          <w:szCs w:val="24"/>
          <w:lang w:val="es-ES"/>
        </w:rPr>
        <w:t xml:space="preserve">mado </w:t>
      </w:r>
      <w:r w:rsidR="00A93624" w:rsidRPr="00AD19A5">
        <w:rPr>
          <w:rFonts w:cs="Arial"/>
          <w:i/>
          <w:szCs w:val="24"/>
          <w:lang w:val="es-ES"/>
        </w:rPr>
        <w:t xml:space="preserve">Pacto </w:t>
      </w:r>
      <w:r w:rsidRPr="00AD19A5">
        <w:rPr>
          <w:rFonts w:cs="Arial"/>
          <w:i/>
          <w:szCs w:val="24"/>
          <w:lang w:val="es-ES"/>
        </w:rPr>
        <w:t xml:space="preserve">de Estabilidad y </w:t>
      </w:r>
      <w:r w:rsidR="00A93624" w:rsidRPr="00AD19A5">
        <w:rPr>
          <w:rFonts w:cs="Arial"/>
          <w:i/>
          <w:szCs w:val="24"/>
          <w:lang w:val="es-ES"/>
        </w:rPr>
        <w:t>C</w:t>
      </w:r>
      <w:r w:rsidRPr="00AD19A5">
        <w:rPr>
          <w:rFonts w:cs="Arial"/>
          <w:i/>
          <w:szCs w:val="24"/>
          <w:lang w:val="es-ES"/>
        </w:rPr>
        <w:t>recimiento</w:t>
      </w:r>
      <w:r w:rsidRPr="00AD19A5">
        <w:rPr>
          <w:rFonts w:cs="Arial"/>
          <w:szCs w:val="24"/>
          <w:lang w:val="es-ES"/>
        </w:rPr>
        <w:t>, modificado por lo que en el argot comunitario se denomina paquete d</w:t>
      </w:r>
      <w:r w:rsidR="00A93624" w:rsidRPr="00AD19A5">
        <w:rPr>
          <w:rFonts w:cs="Arial"/>
          <w:szCs w:val="24"/>
          <w:lang w:val="es-ES"/>
        </w:rPr>
        <w:t xml:space="preserve">e las </w:t>
      </w:r>
      <w:r w:rsidRPr="00AD19A5">
        <w:rPr>
          <w:rFonts w:cs="Arial"/>
          <w:szCs w:val="24"/>
          <w:lang w:val="es-ES"/>
        </w:rPr>
        <w:t xml:space="preserve">seis </w:t>
      </w:r>
      <w:r w:rsidRPr="00AD19A5">
        <w:rPr>
          <w:rFonts w:cs="Arial"/>
          <w:szCs w:val="24"/>
          <w:lang w:val="es-ES"/>
        </w:rPr>
        <w:lastRenderedPageBreak/>
        <w:t>medidas (</w:t>
      </w:r>
      <w:proofErr w:type="spellStart"/>
      <w:r w:rsidRPr="00AD19A5">
        <w:rPr>
          <w:rFonts w:cs="Arial"/>
          <w:i/>
          <w:szCs w:val="24"/>
          <w:lang w:val="es-ES"/>
        </w:rPr>
        <w:t>Six</w:t>
      </w:r>
      <w:proofErr w:type="spellEnd"/>
      <w:r w:rsidRPr="00AD19A5">
        <w:rPr>
          <w:rFonts w:cs="Arial"/>
          <w:i/>
          <w:szCs w:val="24"/>
          <w:lang w:val="es-ES"/>
        </w:rPr>
        <w:t xml:space="preserve"> packs</w:t>
      </w:r>
      <w:r w:rsidRPr="00AD19A5">
        <w:rPr>
          <w:rFonts w:cs="Arial"/>
          <w:szCs w:val="24"/>
          <w:lang w:val="es-ES"/>
        </w:rPr>
        <w:t xml:space="preserve">) </w:t>
      </w:r>
      <w:r w:rsidR="00A93624" w:rsidRPr="00AD19A5">
        <w:rPr>
          <w:rFonts w:cs="Arial"/>
          <w:szCs w:val="24"/>
          <w:lang w:val="es-ES"/>
        </w:rPr>
        <w:t xml:space="preserve">han determinado la fijación de determinadas reglas inexistentes con anterioridad en el Derecho presupuestario </w:t>
      </w:r>
      <w:r w:rsidR="00B34C2F">
        <w:rPr>
          <w:rFonts w:cs="Arial"/>
          <w:szCs w:val="24"/>
          <w:lang w:val="es-ES"/>
        </w:rPr>
        <w:t>estatal</w:t>
      </w:r>
      <w:r w:rsidR="009421A8">
        <w:rPr>
          <w:rFonts w:cs="Arial"/>
          <w:szCs w:val="24"/>
          <w:lang w:val="es-ES"/>
        </w:rPr>
        <w:t>,</w:t>
      </w:r>
      <w:r w:rsidR="00B34C2F">
        <w:rPr>
          <w:rFonts w:cs="Arial"/>
          <w:szCs w:val="24"/>
          <w:lang w:val="es-ES"/>
        </w:rPr>
        <w:t xml:space="preserve"> </w:t>
      </w:r>
      <w:r w:rsidR="0088747E">
        <w:rPr>
          <w:rFonts w:cs="Arial"/>
          <w:szCs w:val="24"/>
          <w:lang w:val="es-ES"/>
        </w:rPr>
        <w:t xml:space="preserve">introducidos </w:t>
      </w:r>
      <w:r w:rsidR="00A93624" w:rsidRPr="00AD19A5">
        <w:rPr>
          <w:rFonts w:cs="Arial"/>
          <w:szCs w:val="24"/>
          <w:lang w:val="es-ES"/>
        </w:rPr>
        <w:t xml:space="preserve">por la aprobación de la citada LO 2/2012, de </w:t>
      </w:r>
      <w:r w:rsidR="00A93624" w:rsidRPr="0088747E">
        <w:rPr>
          <w:rFonts w:cs="Arial"/>
          <w:i/>
          <w:szCs w:val="24"/>
          <w:lang w:val="es-ES"/>
        </w:rPr>
        <w:t>Estabilidad presupuestaria</w:t>
      </w:r>
      <w:r w:rsidR="0088747E" w:rsidRPr="0088747E">
        <w:rPr>
          <w:rFonts w:cs="Arial"/>
          <w:i/>
          <w:szCs w:val="24"/>
          <w:lang w:val="es-ES"/>
        </w:rPr>
        <w:t xml:space="preserve"> y sostenibilidad Financiera</w:t>
      </w:r>
      <w:r w:rsidR="005F19E5" w:rsidRPr="00AD19A5">
        <w:rPr>
          <w:rFonts w:cs="Arial"/>
          <w:szCs w:val="24"/>
          <w:lang w:val="es-ES"/>
        </w:rPr>
        <w:t>,</w:t>
      </w:r>
      <w:r w:rsidR="005B7574" w:rsidRPr="005B7574">
        <w:rPr>
          <w:rFonts w:cs="Arial"/>
          <w:i/>
          <w:szCs w:val="24"/>
          <w:lang w:val="es-ES"/>
        </w:rPr>
        <w:t xml:space="preserve"> </w:t>
      </w:r>
      <w:r w:rsidR="005B7574">
        <w:rPr>
          <w:rFonts w:cs="Arial"/>
          <w:i/>
          <w:szCs w:val="24"/>
          <w:lang w:val="es-ES"/>
        </w:rPr>
        <w:t xml:space="preserve">(en adelante </w:t>
      </w:r>
      <w:r w:rsidR="005B7574" w:rsidRPr="0088747E">
        <w:rPr>
          <w:rFonts w:cs="Arial"/>
          <w:i/>
          <w:szCs w:val="24"/>
          <w:lang w:val="es-ES"/>
        </w:rPr>
        <w:t>LOEPSF</w:t>
      </w:r>
      <w:r w:rsidR="005B7574">
        <w:rPr>
          <w:rFonts w:cs="Arial"/>
          <w:i/>
          <w:szCs w:val="24"/>
          <w:lang w:val="es-ES"/>
        </w:rPr>
        <w:t>)</w:t>
      </w:r>
      <w:r w:rsidR="005F19E5" w:rsidRPr="00AD19A5">
        <w:rPr>
          <w:rFonts w:cs="Arial"/>
          <w:szCs w:val="24"/>
          <w:lang w:val="es-ES"/>
        </w:rPr>
        <w:t xml:space="preserve"> de los que pueden destacarse los siguientes hitos en el procedimiento presupuestario del Estado:</w:t>
      </w:r>
    </w:p>
    <w:p w:rsidR="000F6AAA" w:rsidRPr="00AD19A5" w:rsidRDefault="00F71C45" w:rsidP="00BE40B4">
      <w:pPr>
        <w:pStyle w:val="OFICIO-12"/>
        <w:numPr>
          <w:ilvl w:val="0"/>
          <w:numId w:val="2"/>
        </w:numPr>
        <w:spacing w:before="0" w:after="300" w:line="340" w:lineRule="exact"/>
        <w:ind w:left="0" w:firstLine="426"/>
        <w:rPr>
          <w:rFonts w:cs="Arial"/>
          <w:szCs w:val="24"/>
          <w:lang w:val="es-ES"/>
        </w:rPr>
      </w:pPr>
      <w:r w:rsidRPr="00AD19A5">
        <w:rPr>
          <w:rFonts w:cs="Arial"/>
          <w:szCs w:val="24"/>
          <w:lang w:val="es-ES"/>
        </w:rPr>
        <w:t xml:space="preserve">Fijación del techo o </w:t>
      </w:r>
      <w:proofErr w:type="spellStart"/>
      <w:r w:rsidRPr="00D30C13">
        <w:rPr>
          <w:rFonts w:cs="Arial"/>
          <w:i/>
          <w:szCs w:val="24"/>
          <w:lang w:val="es-ES"/>
        </w:rPr>
        <w:t>plafond</w:t>
      </w:r>
      <w:proofErr w:type="spellEnd"/>
      <w:r w:rsidRPr="00D30C13">
        <w:rPr>
          <w:rFonts w:cs="Arial"/>
          <w:i/>
          <w:szCs w:val="24"/>
          <w:lang w:val="es-ES"/>
        </w:rPr>
        <w:t xml:space="preserve"> </w:t>
      </w:r>
      <w:r w:rsidRPr="00AD19A5">
        <w:rPr>
          <w:rFonts w:cs="Arial"/>
          <w:szCs w:val="24"/>
          <w:lang w:val="es-ES"/>
        </w:rPr>
        <w:t xml:space="preserve">de gasto en el </w:t>
      </w:r>
      <w:r w:rsidRPr="00947750">
        <w:rPr>
          <w:rFonts w:cs="Arial"/>
          <w:szCs w:val="24"/>
          <w:lang w:val="es-ES"/>
        </w:rPr>
        <w:t>primer sem</w:t>
      </w:r>
      <w:r w:rsidRPr="00AD19A5">
        <w:rPr>
          <w:rFonts w:cs="Arial"/>
          <w:szCs w:val="24"/>
          <w:lang w:val="es-ES"/>
        </w:rPr>
        <w:t xml:space="preserve">estre de cada año </w:t>
      </w:r>
      <w:r w:rsidR="000F6AAA" w:rsidRPr="00AD19A5">
        <w:rPr>
          <w:rFonts w:cs="Arial"/>
          <w:szCs w:val="24"/>
          <w:lang w:val="es-ES"/>
        </w:rPr>
        <w:t xml:space="preserve">mediante </w:t>
      </w:r>
      <w:r w:rsidR="000F6AAA" w:rsidRPr="00947750">
        <w:rPr>
          <w:rFonts w:cs="Arial"/>
          <w:szCs w:val="24"/>
          <w:lang w:val="es-ES"/>
        </w:rPr>
        <w:t>Acuerdo del Consejo de Ministros en el que se contengan los objetivos de estabilidad presupuestaria y de deuda pública.</w:t>
      </w:r>
      <w:r w:rsidR="00A9431F" w:rsidRPr="00947750">
        <w:rPr>
          <w:rFonts w:cs="Arial"/>
          <w:szCs w:val="24"/>
          <w:lang w:val="es-ES"/>
        </w:rPr>
        <w:t xml:space="preserve"> </w:t>
      </w:r>
    </w:p>
    <w:p w:rsidR="00BA0EB2" w:rsidRPr="00AD19A5" w:rsidRDefault="0088747E" w:rsidP="00BE40B4">
      <w:pPr>
        <w:pStyle w:val="OFICIO-12"/>
        <w:numPr>
          <w:ilvl w:val="0"/>
          <w:numId w:val="2"/>
        </w:numPr>
        <w:spacing w:before="0" w:after="300" w:line="340" w:lineRule="exact"/>
        <w:ind w:left="0" w:firstLine="426"/>
        <w:rPr>
          <w:rFonts w:cs="Arial"/>
          <w:szCs w:val="24"/>
          <w:lang w:val="es-ES"/>
        </w:rPr>
      </w:pPr>
      <w:r>
        <w:rPr>
          <w:rFonts w:cs="Arial"/>
          <w:szCs w:val="24"/>
        </w:rPr>
        <w:t xml:space="preserve">Dicho Acuerdo del Consejo de Ministros se tramita directamente ante </w:t>
      </w:r>
      <w:r w:rsidR="000F6AAA" w:rsidRPr="00AD19A5">
        <w:rPr>
          <w:rFonts w:cs="Arial"/>
          <w:szCs w:val="24"/>
        </w:rPr>
        <w:t>los Plenos del Congreso de los Diputados y el Senado, que deben pronunciarse aprobando o rechazando los objetivos propuestos por el Gobierno</w:t>
      </w:r>
      <w:r w:rsidR="00AD5B0C" w:rsidRPr="00AD19A5">
        <w:rPr>
          <w:rFonts w:cs="Arial"/>
          <w:szCs w:val="24"/>
        </w:rPr>
        <w:t xml:space="preserve"> (</w:t>
      </w:r>
      <w:r w:rsidR="003D0B8D" w:rsidRPr="00AD19A5">
        <w:rPr>
          <w:rFonts w:cs="Arial"/>
          <w:szCs w:val="24"/>
          <w:lang w:val="es-ES"/>
        </w:rPr>
        <w:t>ar</w:t>
      </w:r>
      <w:r w:rsidR="003D0B8D">
        <w:rPr>
          <w:rFonts w:cs="Arial"/>
          <w:szCs w:val="24"/>
          <w:lang w:val="es-ES"/>
        </w:rPr>
        <w:t>t</w:t>
      </w:r>
      <w:r>
        <w:rPr>
          <w:rFonts w:cs="Arial"/>
          <w:szCs w:val="24"/>
          <w:lang w:val="es-ES"/>
        </w:rPr>
        <w:t>.</w:t>
      </w:r>
      <w:r w:rsidR="00AD5B0C" w:rsidRPr="00AD19A5">
        <w:rPr>
          <w:rFonts w:cs="Arial"/>
          <w:szCs w:val="24"/>
          <w:lang w:val="es-ES"/>
        </w:rPr>
        <w:t xml:space="preserve"> 15 de la </w:t>
      </w:r>
      <w:r w:rsidR="00AD5B0C" w:rsidRPr="0088747E">
        <w:rPr>
          <w:rFonts w:cs="Arial"/>
          <w:i/>
          <w:szCs w:val="24"/>
          <w:lang w:val="es-ES"/>
        </w:rPr>
        <w:t>LOE</w:t>
      </w:r>
      <w:r w:rsidRPr="0088747E">
        <w:rPr>
          <w:rFonts w:cs="Arial"/>
          <w:i/>
          <w:szCs w:val="24"/>
          <w:lang w:val="es-ES"/>
        </w:rPr>
        <w:t>P</w:t>
      </w:r>
      <w:r w:rsidR="00AD5B0C" w:rsidRPr="0088747E">
        <w:rPr>
          <w:rFonts w:cs="Arial"/>
          <w:i/>
          <w:szCs w:val="24"/>
          <w:lang w:val="es-ES"/>
        </w:rPr>
        <w:t>S</w:t>
      </w:r>
      <w:r w:rsidRPr="0088747E">
        <w:rPr>
          <w:rFonts w:cs="Arial"/>
          <w:i/>
          <w:szCs w:val="24"/>
          <w:lang w:val="es-ES"/>
        </w:rPr>
        <w:t>F</w:t>
      </w:r>
      <w:r w:rsidR="00AD5B0C" w:rsidRPr="00AD19A5">
        <w:rPr>
          <w:rFonts w:cs="Arial"/>
          <w:szCs w:val="24"/>
          <w:lang w:val="es-ES"/>
        </w:rPr>
        <w:t>)</w:t>
      </w:r>
      <w:r w:rsidR="00A9431F" w:rsidRPr="00AD19A5">
        <w:rPr>
          <w:rFonts w:cs="Arial"/>
          <w:szCs w:val="24"/>
          <w:lang w:val="es-ES"/>
        </w:rPr>
        <w:t>.</w:t>
      </w:r>
    </w:p>
    <w:p w:rsidR="00A9431F" w:rsidRPr="00AD19A5" w:rsidRDefault="00A9431F" w:rsidP="00BE40B4">
      <w:pPr>
        <w:pStyle w:val="OFICIO-12"/>
        <w:numPr>
          <w:ilvl w:val="0"/>
          <w:numId w:val="2"/>
        </w:numPr>
        <w:spacing w:before="0" w:after="300" w:line="340" w:lineRule="exact"/>
        <w:ind w:left="0" w:firstLine="426"/>
        <w:rPr>
          <w:rFonts w:cs="Arial"/>
          <w:szCs w:val="24"/>
          <w:lang w:val="es-ES"/>
        </w:rPr>
      </w:pPr>
      <w:r w:rsidRPr="00AD19A5">
        <w:rPr>
          <w:rFonts w:cs="Arial"/>
          <w:szCs w:val="24"/>
          <w:lang w:val="es-ES"/>
        </w:rPr>
        <w:t>En la actualidad debid</w:t>
      </w:r>
      <w:r w:rsidR="00BA0EB2" w:rsidRPr="00AD19A5">
        <w:rPr>
          <w:rFonts w:cs="Arial"/>
          <w:szCs w:val="24"/>
          <w:lang w:val="es-ES"/>
        </w:rPr>
        <w:t>o</w:t>
      </w:r>
      <w:r w:rsidRPr="00AD19A5">
        <w:rPr>
          <w:rFonts w:cs="Arial"/>
          <w:szCs w:val="24"/>
          <w:lang w:val="es-ES"/>
        </w:rPr>
        <w:t xml:space="preserve"> a</w:t>
      </w:r>
      <w:r w:rsidR="00BA0EB2" w:rsidRPr="00AD19A5">
        <w:rPr>
          <w:rFonts w:cs="Arial"/>
          <w:szCs w:val="24"/>
          <w:lang w:val="es-ES"/>
        </w:rPr>
        <w:t xml:space="preserve"> </w:t>
      </w:r>
      <w:r w:rsidRPr="00AD19A5">
        <w:rPr>
          <w:rFonts w:cs="Arial"/>
          <w:szCs w:val="24"/>
          <w:lang w:val="es-ES"/>
        </w:rPr>
        <w:t>la situación de crisis de estado derivado de la</w:t>
      </w:r>
      <w:r w:rsidR="00BA0EB2" w:rsidRPr="00AD19A5">
        <w:rPr>
          <w:rFonts w:cs="Arial"/>
          <w:szCs w:val="24"/>
          <w:lang w:val="es-ES"/>
        </w:rPr>
        <w:t xml:space="preserve"> </w:t>
      </w:r>
      <w:r w:rsidRPr="00AD19A5">
        <w:rPr>
          <w:rFonts w:cs="Arial"/>
          <w:szCs w:val="24"/>
          <w:lang w:val="es-ES"/>
        </w:rPr>
        <w:t>neces</w:t>
      </w:r>
      <w:r w:rsidR="00BA0EB2" w:rsidRPr="00AD19A5">
        <w:rPr>
          <w:rFonts w:cs="Arial"/>
          <w:szCs w:val="24"/>
          <w:lang w:val="es-ES"/>
        </w:rPr>
        <w:t xml:space="preserve">idad </w:t>
      </w:r>
      <w:r w:rsidRPr="00AD19A5">
        <w:rPr>
          <w:rFonts w:cs="Arial"/>
          <w:szCs w:val="24"/>
          <w:lang w:val="es-ES"/>
        </w:rPr>
        <w:t xml:space="preserve">de repetir las elecciones celebradas el día 20 de </w:t>
      </w:r>
      <w:r w:rsidR="00BA0EB2" w:rsidRPr="00AD19A5">
        <w:rPr>
          <w:rFonts w:cs="Arial"/>
          <w:szCs w:val="24"/>
          <w:lang w:val="es-ES"/>
        </w:rPr>
        <w:t>diciembre d</w:t>
      </w:r>
      <w:r w:rsidRPr="00AD19A5">
        <w:rPr>
          <w:rFonts w:cs="Arial"/>
          <w:szCs w:val="24"/>
          <w:lang w:val="es-ES"/>
        </w:rPr>
        <w:t>e 2015, el d</w:t>
      </w:r>
      <w:r w:rsidR="00BA0EB2" w:rsidRPr="00AD19A5">
        <w:rPr>
          <w:rFonts w:cs="Arial"/>
          <w:szCs w:val="24"/>
          <w:lang w:val="es-ES"/>
        </w:rPr>
        <w:t xml:space="preserve">ía </w:t>
      </w:r>
      <w:r w:rsidRPr="00AD19A5">
        <w:rPr>
          <w:rFonts w:cs="Arial"/>
          <w:szCs w:val="24"/>
          <w:lang w:val="es-ES"/>
        </w:rPr>
        <w:t>26 d</w:t>
      </w:r>
      <w:r w:rsidR="00BA0EB2" w:rsidRPr="00AD19A5">
        <w:rPr>
          <w:rFonts w:cs="Arial"/>
          <w:szCs w:val="24"/>
          <w:lang w:val="es-ES"/>
        </w:rPr>
        <w:t>e</w:t>
      </w:r>
      <w:r w:rsidRPr="00AD19A5">
        <w:rPr>
          <w:rFonts w:cs="Arial"/>
          <w:szCs w:val="24"/>
          <w:lang w:val="es-ES"/>
        </w:rPr>
        <w:t xml:space="preserve"> junio de 2016, en cumplimiento de lo disp</w:t>
      </w:r>
      <w:r w:rsidR="00BA0EB2" w:rsidRPr="00AD19A5">
        <w:rPr>
          <w:rFonts w:cs="Arial"/>
          <w:szCs w:val="24"/>
          <w:lang w:val="es-ES"/>
        </w:rPr>
        <w:t xml:space="preserve">uesto en el </w:t>
      </w:r>
      <w:r w:rsidRPr="00AD19A5">
        <w:rPr>
          <w:rFonts w:cs="Arial"/>
          <w:szCs w:val="24"/>
          <w:lang w:val="es-ES"/>
        </w:rPr>
        <w:t>art</w:t>
      </w:r>
      <w:r w:rsidR="005B7574">
        <w:rPr>
          <w:rFonts w:cs="Arial"/>
          <w:szCs w:val="24"/>
          <w:lang w:val="es-ES"/>
        </w:rPr>
        <w:t>í</w:t>
      </w:r>
      <w:r w:rsidR="00BA0EB2" w:rsidRPr="00AD19A5">
        <w:rPr>
          <w:rFonts w:cs="Arial"/>
          <w:szCs w:val="24"/>
          <w:lang w:val="es-ES"/>
        </w:rPr>
        <w:t>culo</w:t>
      </w:r>
      <w:r w:rsidRPr="00AD19A5">
        <w:rPr>
          <w:rFonts w:cs="Arial"/>
          <w:szCs w:val="24"/>
          <w:lang w:val="es-ES"/>
        </w:rPr>
        <w:t xml:space="preserve"> 99.5 de la CE, no se ha materializado dicho trámite, que deberá llevarse a cabo en los próximas semanas. </w:t>
      </w:r>
    </w:p>
    <w:p w:rsidR="00B52CAA" w:rsidRPr="00AD19A5" w:rsidRDefault="00A9431F" w:rsidP="00BE40B4">
      <w:pPr>
        <w:pStyle w:val="OFICIO-12"/>
        <w:numPr>
          <w:ilvl w:val="0"/>
          <w:numId w:val="2"/>
        </w:numPr>
        <w:spacing w:before="0" w:after="300" w:line="340" w:lineRule="exact"/>
        <w:ind w:left="0" w:firstLine="426"/>
        <w:rPr>
          <w:rFonts w:cs="Arial"/>
          <w:szCs w:val="24"/>
          <w:lang w:val="es-ES"/>
        </w:rPr>
      </w:pPr>
      <w:r w:rsidRPr="00AD19A5">
        <w:rPr>
          <w:rFonts w:cs="Arial"/>
          <w:szCs w:val="24"/>
          <w:lang w:val="es-ES"/>
        </w:rPr>
        <w:t xml:space="preserve">Presentación de </w:t>
      </w:r>
      <w:r w:rsidRPr="00E15CDD">
        <w:rPr>
          <w:rFonts w:cs="Arial"/>
          <w:i/>
          <w:szCs w:val="24"/>
          <w:lang w:val="es-ES"/>
        </w:rPr>
        <w:t>los Presupuestos</w:t>
      </w:r>
      <w:r w:rsidR="00E15CDD">
        <w:rPr>
          <w:rFonts w:cs="Arial"/>
          <w:i/>
          <w:szCs w:val="24"/>
          <w:lang w:val="es-ES"/>
        </w:rPr>
        <w:t xml:space="preserve"> (PGE)</w:t>
      </w:r>
      <w:r w:rsidRPr="00AD19A5">
        <w:rPr>
          <w:rFonts w:cs="Arial"/>
          <w:szCs w:val="24"/>
          <w:lang w:val="es-ES"/>
        </w:rPr>
        <w:t xml:space="preserve"> ante la Comisión europea, que puede solicitar</w:t>
      </w:r>
      <w:r w:rsidR="00BA0EB2" w:rsidRPr="00AD19A5">
        <w:rPr>
          <w:rFonts w:cs="Arial"/>
          <w:szCs w:val="24"/>
          <w:lang w:val="es-ES"/>
        </w:rPr>
        <w:t xml:space="preserve"> </w:t>
      </w:r>
      <w:r w:rsidRPr="00AD19A5">
        <w:rPr>
          <w:rFonts w:cs="Arial"/>
          <w:szCs w:val="24"/>
          <w:lang w:val="es-ES"/>
        </w:rPr>
        <w:t xml:space="preserve">su revisión si no se ajustan a sus </w:t>
      </w:r>
      <w:r w:rsidR="003D0B8D" w:rsidRPr="00AD19A5">
        <w:rPr>
          <w:rFonts w:cs="Arial"/>
          <w:szCs w:val="24"/>
          <w:lang w:val="es-ES"/>
        </w:rPr>
        <w:t xml:space="preserve">recomendaciones. </w:t>
      </w:r>
    </w:p>
    <w:p w:rsidR="003D7000" w:rsidRPr="00947750" w:rsidRDefault="005B7574" w:rsidP="00947750">
      <w:pPr>
        <w:pStyle w:val="OFICIO-12"/>
        <w:spacing w:before="0" w:after="300" w:line="340" w:lineRule="exact"/>
        <w:rPr>
          <w:rFonts w:cs="Arial"/>
          <w:szCs w:val="24"/>
          <w:lang w:val="es-ES"/>
        </w:rPr>
      </w:pPr>
      <w:r w:rsidRPr="00947750">
        <w:rPr>
          <w:rFonts w:cs="Arial"/>
          <w:b/>
          <w:szCs w:val="24"/>
          <w:lang w:val="es-ES"/>
        </w:rPr>
        <w:t xml:space="preserve">Segundo: </w:t>
      </w:r>
      <w:r w:rsidR="00BA0EB2" w:rsidRPr="00947750">
        <w:rPr>
          <w:rFonts w:cs="Arial"/>
          <w:szCs w:val="24"/>
          <w:lang w:val="es-ES"/>
        </w:rPr>
        <w:t>La LOEP</w:t>
      </w:r>
      <w:r w:rsidRPr="00947750">
        <w:rPr>
          <w:rFonts w:cs="Arial"/>
          <w:szCs w:val="24"/>
          <w:lang w:val="es-ES"/>
        </w:rPr>
        <w:t>SF</w:t>
      </w:r>
      <w:r w:rsidR="00BA0EB2" w:rsidRPr="00947750">
        <w:rPr>
          <w:rFonts w:cs="Arial"/>
          <w:szCs w:val="24"/>
          <w:lang w:val="es-ES"/>
        </w:rPr>
        <w:t xml:space="preserve"> contempla un conjunto de principios gen</w:t>
      </w:r>
      <w:r w:rsidR="0054189B" w:rsidRPr="00947750">
        <w:rPr>
          <w:rFonts w:cs="Arial"/>
          <w:szCs w:val="24"/>
          <w:lang w:val="es-ES"/>
        </w:rPr>
        <w:t>erales presupuestarios en sus artículos 3-</w:t>
      </w:r>
      <w:r w:rsidR="00F113BC" w:rsidRPr="00947750">
        <w:rPr>
          <w:rFonts w:cs="Arial"/>
          <w:szCs w:val="24"/>
          <w:lang w:val="es-ES"/>
        </w:rPr>
        <w:t>9</w:t>
      </w:r>
      <w:r w:rsidR="0054189B" w:rsidRPr="00947750">
        <w:rPr>
          <w:rFonts w:cs="Arial"/>
          <w:szCs w:val="24"/>
          <w:lang w:val="es-ES"/>
        </w:rPr>
        <w:t xml:space="preserve"> (Principio de estabilidad presupuestaria, sostenibilidad financiera, </w:t>
      </w:r>
      <w:proofErr w:type="spellStart"/>
      <w:r w:rsidR="0054189B" w:rsidRPr="00947750">
        <w:rPr>
          <w:rFonts w:cs="Arial"/>
          <w:szCs w:val="24"/>
          <w:lang w:val="es-ES"/>
        </w:rPr>
        <w:t>plurianualidad</w:t>
      </w:r>
      <w:proofErr w:type="spellEnd"/>
      <w:r w:rsidR="00F113BC" w:rsidRPr="00947750">
        <w:rPr>
          <w:rFonts w:cs="Arial"/>
          <w:szCs w:val="24"/>
          <w:lang w:val="es-ES"/>
        </w:rPr>
        <w:t xml:space="preserve">, transparencia, optimización en la asignación de recursos, responsabilidad y </w:t>
      </w:r>
      <w:r w:rsidR="00D30C13">
        <w:rPr>
          <w:rFonts w:cs="Arial"/>
          <w:szCs w:val="24"/>
          <w:lang w:val="es-ES"/>
        </w:rPr>
        <w:t>lealtad</w:t>
      </w:r>
      <w:r w:rsidR="00F113BC" w:rsidRPr="00947750">
        <w:rPr>
          <w:rFonts w:cs="Arial"/>
          <w:szCs w:val="24"/>
          <w:lang w:val="es-ES"/>
        </w:rPr>
        <w:t xml:space="preserve"> institucional), </w:t>
      </w:r>
      <w:r w:rsidR="00C52F26" w:rsidRPr="00947750">
        <w:rPr>
          <w:rFonts w:cs="Arial"/>
          <w:szCs w:val="24"/>
          <w:lang w:val="es-ES"/>
        </w:rPr>
        <w:t xml:space="preserve">junto con la </w:t>
      </w:r>
      <w:r w:rsidR="00F113BC" w:rsidRPr="00947750">
        <w:rPr>
          <w:rFonts w:cs="Arial"/>
          <w:szCs w:val="24"/>
          <w:lang w:val="es-ES"/>
        </w:rPr>
        <w:t>determinación d</w:t>
      </w:r>
      <w:r w:rsidR="00C52F26" w:rsidRPr="00947750">
        <w:rPr>
          <w:rFonts w:cs="Arial"/>
          <w:szCs w:val="24"/>
          <w:lang w:val="es-ES"/>
        </w:rPr>
        <w:t xml:space="preserve">e la regla de gasto y una </w:t>
      </w:r>
      <w:r w:rsidRPr="00947750">
        <w:rPr>
          <w:rFonts w:cs="Arial"/>
          <w:szCs w:val="24"/>
          <w:lang w:val="es-ES"/>
        </w:rPr>
        <w:t xml:space="preserve">serie </w:t>
      </w:r>
      <w:r w:rsidR="003D7000" w:rsidRPr="00947750">
        <w:rPr>
          <w:rFonts w:cs="Arial"/>
          <w:szCs w:val="24"/>
          <w:lang w:val="es-ES"/>
        </w:rPr>
        <w:t>de</w:t>
      </w:r>
      <w:r w:rsidR="00C52F26" w:rsidRPr="00947750">
        <w:rPr>
          <w:rFonts w:cs="Arial"/>
          <w:szCs w:val="24"/>
          <w:lang w:val="es-ES"/>
        </w:rPr>
        <w:t xml:space="preserve"> </w:t>
      </w:r>
      <w:r w:rsidR="003D7000" w:rsidRPr="00947750">
        <w:rPr>
          <w:rFonts w:cs="Arial"/>
          <w:szCs w:val="24"/>
          <w:lang w:val="es-ES"/>
        </w:rPr>
        <w:t>Medidas preventivas, correctivas y coercitivas (artículos 18-25</w:t>
      </w:r>
      <w:r w:rsidR="00AD19A5" w:rsidRPr="00947750">
        <w:rPr>
          <w:rFonts w:cs="Arial"/>
          <w:szCs w:val="24"/>
          <w:lang w:val="es-ES"/>
        </w:rPr>
        <w:t>)</w:t>
      </w:r>
      <w:r w:rsidR="003D7000" w:rsidRPr="00947750">
        <w:rPr>
          <w:rFonts w:cs="Arial"/>
          <w:szCs w:val="24"/>
          <w:lang w:val="es-ES"/>
        </w:rPr>
        <w:t xml:space="preserve"> para el conjunto de Administraciones públicas, que incluyen a</w:t>
      </w:r>
      <w:r w:rsidR="005477ED" w:rsidRPr="00947750">
        <w:rPr>
          <w:rFonts w:cs="Arial"/>
          <w:szCs w:val="24"/>
          <w:lang w:val="es-ES"/>
        </w:rPr>
        <w:t xml:space="preserve">l Estado, a </w:t>
      </w:r>
      <w:r w:rsidR="003D7000" w:rsidRPr="00947750">
        <w:rPr>
          <w:rFonts w:cs="Arial"/>
          <w:szCs w:val="24"/>
          <w:lang w:val="es-ES"/>
        </w:rPr>
        <w:t xml:space="preserve"> las CC.AA de régimen LOFCA y a las Administraciones Locales.</w:t>
      </w:r>
    </w:p>
    <w:p w:rsidR="00F6381E" w:rsidRPr="00947750" w:rsidRDefault="003D7000" w:rsidP="00947750">
      <w:pPr>
        <w:pStyle w:val="OFICIO-12"/>
        <w:spacing w:before="0" w:after="300" w:line="340" w:lineRule="exact"/>
        <w:rPr>
          <w:rFonts w:cs="Arial"/>
          <w:szCs w:val="24"/>
          <w:lang w:val="es-ES"/>
        </w:rPr>
      </w:pPr>
      <w:r w:rsidRPr="00947750">
        <w:rPr>
          <w:rFonts w:cs="Arial"/>
          <w:szCs w:val="24"/>
          <w:lang w:val="es-ES"/>
        </w:rPr>
        <w:t xml:space="preserve">Para las </w:t>
      </w:r>
      <w:r w:rsidR="009421A8" w:rsidRPr="00947750">
        <w:rPr>
          <w:rFonts w:cs="Arial"/>
          <w:szCs w:val="24"/>
          <w:lang w:val="es-ES"/>
        </w:rPr>
        <w:t>H</w:t>
      </w:r>
      <w:r w:rsidR="00F6381E" w:rsidRPr="00947750">
        <w:rPr>
          <w:rFonts w:cs="Arial"/>
          <w:szCs w:val="24"/>
          <w:lang w:val="es-ES"/>
        </w:rPr>
        <w:t xml:space="preserve">aciendas Forales, en concreto para la </w:t>
      </w:r>
      <w:r w:rsidR="00AD19A5" w:rsidRPr="00947750">
        <w:rPr>
          <w:rFonts w:cs="Arial"/>
          <w:szCs w:val="24"/>
          <w:lang w:val="es-ES"/>
        </w:rPr>
        <w:t>C</w:t>
      </w:r>
      <w:r w:rsidR="00F6381E" w:rsidRPr="00947750">
        <w:rPr>
          <w:rFonts w:cs="Arial"/>
          <w:szCs w:val="24"/>
          <w:lang w:val="es-ES"/>
        </w:rPr>
        <w:t xml:space="preserve">omunidad Foral de Navarra, la </w:t>
      </w:r>
      <w:r w:rsidR="00F6381E" w:rsidRPr="00D30C13">
        <w:rPr>
          <w:rFonts w:cs="Arial"/>
          <w:i/>
          <w:szCs w:val="24"/>
          <w:lang w:val="es-ES"/>
        </w:rPr>
        <w:t xml:space="preserve">Disposición final tercera.1 </w:t>
      </w:r>
      <w:r w:rsidR="00F6381E" w:rsidRPr="00947750">
        <w:rPr>
          <w:rFonts w:cs="Arial"/>
          <w:szCs w:val="24"/>
          <w:lang w:val="es-ES"/>
        </w:rPr>
        <w:t xml:space="preserve">establece: </w:t>
      </w:r>
    </w:p>
    <w:p w:rsidR="00F6381E" w:rsidRPr="00AD19A5" w:rsidRDefault="00F6381E" w:rsidP="00BE40B4">
      <w:pPr>
        <w:pStyle w:val="parrafo"/>
        <w:ind w:left="567" w:right="282"/>
        <w:jc w:val="both"/>
        <w:rPr>
          <w:rFonts w:ascii="Arial" w:hAnsi="Arial" w:cs="Arial"/>
          <w:i/>
        </w:rPr>
      </w:pPr>
      <w:r w:rsidRPr="009421A8">
        <w:rPr>
          <w:rFonts w:ascii="Arial" w:hAnsi="Arial" w:cs="Arial"/>
        </w:rPr>
        <w:t xml:space="preserve">1. En virtud de su régimen foral, la aplicación a la Comunidad Foral de Navarra de lo dispuesto en esta Ley se llevará a cabo, según lo establecido en el artículo 64 de la Ley Orgánica de Reintegración y Amejoramiento del Régimen Foral de Navarra, conforme a lo dispuesto </w:t>
      </w:r>
      <w:r w:rsidRPr="009421A8">
        <w:rPr>
          <w:rFonts w:ascii="Arial" w:hAnsi="Arial" w:cs="Arial"/>
          <w:i/>
        </w:rPr>
        <w:t>en el Convenio Económico entre el Estado y la Comunidad Foral de Navarra</w:t>
      </w:r>
      <w:r w:rsidRPr="00AD19A5">
        <w:rPr>
          <w:rFonts w:ascii="Arial" w:hAnsi="Arial" w:cs="Arial"/>
          <w:i/>
        </w:rPr>
        <w:t>.</w:t>
      </w:r>
    </w:p>
    <w:p w:rsidR="00A76856" w:rsidRPr="00AD19A5" w:rsidRDefault="005477ED" w:rsidP="00F113BC">
      <w:pPr>
        <w:pStyle w:val="OFICIO-12"/>
        <w:spacing w:before="0" w:after="300" w:line="340" w:lineRule="exact"/>
        <w:rPr>
          <w:rFonts w:cs="Arial"/>
          <w:szCs w:val="24"/>
          <w:lang w:val="es-ES"/>
        </w:rPr>
      </w:pPr>
      <w:r w:rsidRPr="00947750">
        <w:rPr>
          <w:rFonts w:cs="Arial"/>
          <w:b/>
          <w:szCs w:val="24"/>
          <w:lang w:val="es-ES"/>
        </w:rPr>
        <w:t>Tercero</w:t>
      </w:r>
      <w:r w:rsidR="00A76856" w:rsidRPr="00947750">
        <w:rPr>
          <w:rFonts w:cs="Arial"/>
          <w:b/>
          <w:szCs w:val="24"/>
          <w:lang w:val="es-ES"/>
        </w:rPr>
        <w:t>:</w:t>
      </w:r>
      <w:r w:rsidR="00A76856" w:rsidRPr="00947750">
        <w:rPr>
          <w:rFonts w:cs="Arial"/>
          <w:szCs w:val="24"/>
          <w:lang w:val="es-ES"/>
        </w:rPr>
        <w:t xml:space="preserve"> </w:t>
      </w:r>
      <w:r w:rsidR="00A76856" w:rsidRPr="00AD19A5">
        <w:rPr>
          <w:rFonts w:cs="Arial"/>
          <w:szCs w:val="24"/>
          <w:lang w:val="es-ES"/>
        </w:rPr>
        <w:t>La referencia</w:t>
      </w:r>
      <w:r w:rsidR="00A76856" w:rsidRPr="00947750">
        <w:rPr>
          <w:rFonts w:cs="Arial"/>
          <w:szCs w:val="24"/>
          <w:lang w:val="es-ES"/>
        </w:rPr>
        <w:t xml:space="preserve"> </w:t>
      </w:r>
      <w:r w:rsidR="00A76856" w:rsidRPr="00AD19A5">
        <w:rPr>
          <w:rFonts w:cs="Arial"/>
          <w:szCs w:val="24"/>
          <w:lang w:val="es-ES"/>
        </w:rPr>
        <w:t xml:space="preserve">al marco jurídico-presupuestario permite, brevemente, señalar </w:t>
      </w:r>
      <w:r>
        <w:rPr>
          <w:rFonts w:cs="Arial"/>
          <w:szCs w:val="24"/>
          <w:lang w:val="es-ES"/>
        </w:rPr>
        <w:t xml:space="preserve">en aras de la claridad y de la lógica observación de un  </w:t>
      </w:r>
      <w:r w:rsidRPr="00D30C13">
        <w:rPr>
          <w:rFonts w:cs="Arial"/>
          <w:i/>
          <w:szCs w:val="24"/>
          <w:lang w:val="es-ES"/>
        </w:rPr>
        <w:t>principio prudencia</w:t>
      </w:r>
      <w:r w:rsidR="00250C06" w:rsidRPr="00D30C13">
        <w:rPr>
          <w:rFonts w:cs="Arial"/>
          <w:i/>
          <w:szCs w:val="24"/>
          <w:lang w:val="es-ES"/>
        </w:rPr>
        <w:t>l</w:t>
      </w:r>
      <w:r w:rsidR="009421A8" w:rsidRPr="00947750">
        <w:rPr>
          <w:rFonts w:cs="Arial"/>
          <w:szCs w:val="24"/>
          <w:lang w:val="es-ES"/>
        </w:rPr>
        <w:t>,</w:t>
      </w:r>
      <w:r>
        <w:rPr>
          <w:rFonts w:cs="Arial"/>
          <w:szCs w:val="24"/>
          <w:lang w:val="es-ES"/>
        </w:rPr>
        <w:t xml:space="preserve"> lo que sigue:</w:t>
      </w:r>
    </w:p>
    <w:p w:rsidR="005A55E2" w:rsidRPr="00947750" w:rsidRDefault="00A76856" w:rsidP="007A25B3">
      <w:pPr>
        <w:pStyle w:val="OFICIO-12"/>
        <w:spacing w:before="0" w:after="300" w:line="340" w:lineRule="exact"/>
        <w:ind w:firstLine="709"/>
        <w:rPr>
          <w:rFonts w:cs="Arial"/>
        </w:rPr>
      </w:pPr>
      <w:r w:rsidRPr="00947750">
        <w:rPr>
          <w:rFonts w:cs="Arial"/>
        </w:rPr>
        <w:t>La determinación</w:t>
      </w:r>
      <w:r w:rsidR="00526A36" w:rsidRPr="00947750">
        <w:rPr>
          <w:rFonts w:cs="Arial"/>
        </w:rPr>
        <w:t xml:space="preserve"> del techo de gasto </w:t>
      </w:r>
      <w:r w:rsidR="005477ED" w:rsidRPr="00947750">
        <w:rPr>
          <w:rFonts w:cs="Arial"/>
        </w:rPr>
        <w:t>inicial d</w:t>
      </w:r>
      <w:r w:rsidR="00526A36" w:rsidRPr="00947750">
        <w:rPr>
          <w:rFonts w:cs="Arial"/>
        </w:rPr>
        <w:t xml:space="preserve">el Estado </w:t>
      </w:r>
      <w:r w:rsidR="00CC3002" w:rsidRPr="00947750">
        <w:rPr>
          <w:rFonts w:cs="Arial"/>
        </w:rPr>
        <w:t>como trámite presupuestario previo a la aprobación de los P</w:t>
      </w:r>
      <w:r w:rsidR="00526A36" w:rsidRPr="00947750">
        <w:rPr>
          <w:rFonts w:cs="Arial"/>
        </w:rPr>
        <w:t xml:space="preserve">resupuestos Generales del </w:t>
      </w:r>
      <w:r w:rsidR="005A55E2" w:rsidRPr="00947750">
        <w:rPr>
          <w:rFonts w:cs="Arial"/>
        </w:rPr>
        <w:t>E</w:t>
      </w:r>
      <w:r w:rsidR="00526A36" w:rsidRPr="00947750">
        <w:rPr>
          <w:rFonts w:cs="Arial"/>
        </w:rPr>
        <w:t>stado</w:t>
      </w:r>
      <w:r w:rsidR="00CC3002" w:rsidRPr="00947750">
        <w:rPr>
          <w:rFonts w:cs="Arial"/>
        </w:rPr>
        <w:t xml:space="preserve"> (PGE)</w:t>
      </w:r>
      <w:r w:rsidR="00526A36" w:rsidRPr="00947750">
        <w:rPr>
          <w:rFonts w:cs="Arial"/>
        </w:rPr>
        <w:t xml:space="preserve"> </w:t>
      </w:r>
      <w:r w:rsidR="00CC3002" w:rsidRPr="00947750">
        <w:rPr>
          <w:rFonts w:cs="Arial"/>
        </w:rPr>
        <w:t xml:space="preserve">donde finalmente se fijan el monto del régimen de </w:t>
      </w:r>
      <w:r w:rsidR="00526A36" w:rsidRPr="00947750">
        <w:rPr>
          <w:rFonts w:cs="Arial"/>
        </w:rPr>
        <w:t>la participación</w:t>
      </w:r>
      <w:r w:rsidR="00CC3002" w:rsidRPr="00947750">
        <w:rPr>
          <w:rFonts w:cs="Arial"/>
        </w:rPr>
        <w:t xml:space="preserve"> de ingresos para determinados  tributos estatales </w:t>
      </w:r>
      <w:r w:rsidR="00526A36" w:rsidRPr="00947750">
        <w:rPr>
          <w:rFonts w:cs="Arial"/>
        </w:rPr>
        <w:t xml:space="preserve"> </w:t>
      </w:r>
      <w:r w:rsidR="005A55E2" w:rsidRPr="00947750">
        <w:rPr>
          <w:rFonts w:cs="Arial"/>
        </w:rPr>
        <w:t xml:space="preserve">para las CC.AA de régimen LOFCA </w:t>
      </w:r>
      <w:r w:rsidR="00CC3002" w:rsidRPr="00947750">
        <w:rPr>
          <w:rFonts w:cs="Arial"/>
        </w:rPr>
        <w:t xml:space="preserve"> y Administraciones locales, </w:t>
      </w:r>
      <w:r w:rsidR="00526A36" w:rsidRPr="00947750">
        <w:rPr>
          <w:rFonts w:cs="Arial"/>
        </w:rPr>
        <w:t xml:space="preserve">no </w:t>
      </w:r>
      <w:r w:rsidR="005A55E2" w:rsidRPr="00947750">
        <w:rPr>
          <w:rFonts w:cs="Arial"/>
        </w:rPr>
        <w:t xml:space="preserve">se aplica </w:t>
      </w:r>
      <w:r w:rsidR="009421A8" w:rsidRPr="00947750">
        <w:rPr>
          <w:rFonts w:cs="Arial"/>
        </w:rPr>
        <w:t>formalmente a</w:t>
      </w:r>
      <w:r w:rsidR="005A55E2" w:rsidRPr="00947750">
        <w:rPr>
          <w:rFonts w:cs="Arial"/>
        </w:rPr>
        <w:t xml:space="preserve"> la Hacienda Foral de Navarra </w:t>
      </w:r>
      <w:r w:rsidR="00526A36" w:rsidRPr="00947750">
        <w:rPr>
          <w:rFonts w:cs="Arial"/>
        </w:rPr>
        <w:t xml:space="preserve"> que fija su techo </w:t>
      </w:r>
      <w:r w:rsidR="005A55E2" w:rsidRPr="00947750">
        <w:rPr>
          <w:rFonts w:cs="Arial"/>
        </w:rPr>
        <w:t xml:space="preserve">de gasto </w:t>
      </w:r>
      <w:r w:rsidR="00526A36" w:rsidRPr="00947750">
        <w:rPr>
          <w:rFonts w:cs="Arial"/>
        </w:rPr>
        <w:t>en re</w:t>
      </w:r>
      <w:r w:rsidR="005A55E2" w:rsidRPr="00947750">
        <w:rPr>
          <w:rFonts w:cs="Arial"/>
        </w:rPr>
        <w:t xml:space="preserve">lación </w:t>
      </w:r>
      <w:r w:rsidR="00526A36" w:rsidRPr="00947750">
        <w:rPr>
          <w:rFonts w:cs="Arial"/>
        </w:rPr>
        <w:t xml:space="preserve">con la previsión de ingresos </w:t>
      </w:r>
      <w:r w:rsidR="009421A8" w:rsidRPr="00947750">
        <w:rPr>
          <w:rFonts w:cs="Arial"/>
        </w:rPr>
        <w:t xml:space="preserve">y gastos </w:t>
      </w:r>
      <w:r w:rsidR="00E15CDD" w:rsidRPr="00947750">
        <w:rPr>
          <w:rFonts w:cs="Arial"/>
        </w:rPr>
        <w:t>de su régimen tributario</w:t>
      </w:r>
      <w:r w:rsidR="005A55E2" w:rsidRPr="00947750">
        <w:rPr>
          <w:rFonts w:cs="Arial"/>
        </w:rPr>
        <w:t>,</w:t>
      </w:r>
      <w:r w:rsidR="00526A36" w:rsidRPr="00947750">
        <w:rPr>
          <w:rFonts w:cs="Arial"/>
        </w:rPr>
        <w:t xml:space="preserve"> </w:t>
      </w:r>
      <w:r w:rsidR="00E15CDD" w:rsidRPr="00947750">
        <w:rPr>
          <w:rFonts w:cs="Arial"/>
        </w:rPr>
        <w:t>en</w:t>
      </w:r>
      <w:r w:rsidR="00526A36" w:rsidRPr="00947750">
        <w:rPr>
          <w:rFonts w:cs="Arial"/>
        </w:rPr>
        <w:t xml:space="preserve"> el</w:t>
      </w:r>
      <w:r w:rsidR="005A55E2" w:rsidRPr="00947750">
        <w:rPr>
          <w:rFonts w:cs="Arial"/>
        </w:rPr>
        <w:t xml:space="preserve"> </w:t>
      </w:r>
      <w:r w:rsidR="00526A36" w:rsidRPr="00947750">
        <w:rPr>
          <w:rFonts w:cs="Arial"/>
        </w:rPr>
        <w:t>marco d</w:t>
      </w:r>
      <w:r w:rsidR="005A55E2" w:rsidRPr="00947750">
        <w:rPr>
          <w:rFonts w:cs="Arial"/>
        </w:rPr>
        <w:t xml:space="preserve">e </w:t>
      </w:r>
      <w:r w:rsidR="00526A36" w:rsidRPr="00947750">
        <w:rPr>
          <w:rFonts w:cs="Arial"/>
        </w:rPr>
        <w:t>los escenarios presupuestarios</w:t>
      </w:r>
      <w:r w:rsidR="005D1203" w:rsidRPr="00947750">
        <w:rPr>
          <w:rFonts w:cs="Arial"/>
        </w:rPr>
        <w:t xml:space="preserve"> pactados con el Ministerio de Hacienda</w:t>
      </w:r>
      <w:r w:rsidR="009421A8" w:rsidRPr="00947750">
        <w:rPr>
          <w:rFonts w:cs="Arial"/>
        </w:rPr>
        <w:t>.</w:t>
      </w:r>
    </w:p>
    <w:p w:rsidR="009B3D1B" w:rsidRPr="00947750" w:rsidRDefault="00526A36" w:rsidP="00947750">
      <w:pPr>
        <w:pStyle w:val="OFICIO-12"/>
        <w:spacing w:before="0" w:after="300" w:line="340" w:lineRule="exact"/>
        <w:rPr>
          <w:rFonts w:cs="Arial"/>
          <w:szCs w:val="24"/>
          <w:lang w:val="es-ES"/>
        </w:rPr>
      </w:pPr>
      <w:r w:rsidRPr="00AD19A5">
        <w:rPr>
          <w:rFonts w:cs="Arial"/>
        </w:rPr>
        <w:t xml:space="preserve"> </w:t>
      </w:r>
      <w:r w:rsidR="00EB68C8" w:rsidRPr="00AD19A5">
        <w:rPr>
          <w:rFonts w:cs="Arial"/>
        </w:rPr>
        <w:tab/>
      </w:r>
      <w:r w:rsidRPr="00947750">
        <w:rPr>
          <w:rFonts w:cs="Arial"/>
          <w:szCs w:val="24"/>
          <w:lang w:val="es-ES"/>
        </w:rPr>
        <w:t>Ello permite ya dar res</w:t>
      </w:r>
      <w:r w:rsidR="00862C69" w:rsidRPr="00947750">
        <w:rPr>
          <w:rFonts w:cs="Arial"/>
          <w:szCs w:val="24"/>
          <w:lang w:val="es-ES"/>
        </w:rPr>
        <w:t xml:space="preserve">puesta al </w:t>
      </w:r>
      <w:r w:rsidRPr="00947750">
        <w:rPr>
          <w:rFonts w:cs="Arial"/>
          <w:szCs w:val="24"/>
          <w:lang w:val="es-ES"/>
        </w:rPr>
        <w:t xml:space="preserve">interrogante suscitado </w:t>
      </w:r>
      <w:r w:rsidR="005D1203" w:rsidRPr="00947750">
        <w:rPr>
          <w:rFonts w:cs="Arial"/>
          <w:szCs w:val="24"/>
          <w:lang w:val="es-ES"/>
        </w:rPr>
        <w:t xml:space="preserve">sobre el </w:t>
      </w:r>
      <w:r w:rsidR="00862C69" w:rsidRPr="00947750">
        <w:rPr>
          <w:rFonts w:cs="Arial"/>
          <w:szCs w:val="24"/>
          <w:lang w:val="es-ES"/>
        </w:rPr>
        <w:t xml:space="preserve">techo de gasto fijado por las Cortes Generales, en el sentido de que la </w:t>
      </w:r>
      <w:r w:rsidR="00E85653" w:rsidRPr="00947750">
        <w:rPr>
          <w:rFonts w:cs="Arial"/>
          <w:szCs w:val="24"/>
          <w:lang w:val="es-ES"/>
        </w:rPr>
        <w:t>C</w:t>
      </w:r>
      <w:r w:rsidR="00862C69" w:rsidRPr="00947750">
        <w:rPr>
          <w:rFonts w:cs="Arial"/>
          <w:szCs w:val="24"/>
          <w:lang w:val="es-ES"/>
        </w:rPr>
        <w:t>omunidad foral cumple con el escenario de estabilidad presupuestar</w:t>
      </w:r>
      <w:r w:rsidR="005D1203" w:rsidRPr="00947750">
        <w:rPr>
          <w:rFonts w:cs="Arial"/>
          <w:szCs w:val="24"/>
          <w:lang w:val="es-ES"/>
        </w:rPr>
        <w:t>ia</w:t>
      </w:r>
      <w:r w:rsidR="00862C69" w:rsidRPr="00947750">
        <w:rPr>
          <w:rFonts w:cs="Arial"/>
          <w:szCs w:val="24"/>
          <w:lang w:val="es-ES"/>
        </w:rPr>
        <w:t xml:space="preserve"> en el marco de los dispuesto en la di</w:t>
      </w:r>
      <w:r w:rsidR="00E85653" w:rsidRPr="00947750">
        <w:rPr>
          <w:rFonts w:cs="Arial"/>
          <w:szCs w:val="24"/>
          <w:lang w:val="es-ES"/>
        </w:rPr>
        <w:t xml:space="preserve">sposición adicional tercera de la LOESP, es decir, </w:t>
      </w:r>
      <w:r w:rsidR="009B3D1B" w:rsidRPr="00947750">
        <w:rPr>
          <w:rFonts w:cs="Arial"/>
          <w:szCs w:val="24"/>
          <w:lang w:val="es-ES"/>
        </w:rPr>
        <w:t>de conformidad con lo dispuesto en el art</w:t>
      </w:r>
      <w:r w:rsidR="00E73FB8" w:rsidRPr="00947750">
        <w:rPr>
          <w:rFonts w:cs="Arial"/>
          <w:szCs w:val="24"/>
          <w:lang w:val="es-ES"/>
        </w:rPr>
        <w:t>í</w:t>
      </w:r>
      <w:r w:rsidR="005D1203" w:rsidRPr="00947750">
        <w:rPr>
          <w:rFonts w:cs="Arial"/>
          <w:szCs w:val="24"/>
          <w:lang w:val="es-ES"/>
        </w:rPr>
        <w:t>culo</w:t>
      </w:r>
      <w:r w:rsidR="009B3D1B" w:rsidRPr="00947750">
        <w:rPr>
          <w:rFonts w:cs="Arial"/>
          <w:szCs w:val="24"/>
          <w:lang w:val="es-ES"/>
        </w:rPr>
        <w:t xml:space="preserve"> 64 de la</w:t>
      </w:r>
      <w:r w:rsidR="00E85653" w:rsidRPr="00947750">
        <w:rPr>
          <w:rFonts w:cs="Arial"/>
          <w:szCs w:val="24"/>
          <w:lang w:val="es-ES"/>
        </w:rPr>
        <w:t xml:space="preserve"> </w:t>
      </w:r>
      <w:r w:rsidR="009B3D1B" w:rsidRPr="00947750">
        <w:rPr>
          <w:rFonts w:cs="Arial"/>
          <w:szCs w:val="24"/>
          <w:lang w:val="es-ES"/>
        </w:rPr>
        <w:t>Ley Orgánica de Reintegración y Amejoramiento del Régimen Foral de Navarra,</w:t>
      </w:r>
      <w:r w:rsidR="00EB68C8" w:rsidRPr="00947750">
        <w:rPr>
          <w:rFonts w:cs="Arial"/>
          <w:szCs w:val="24"/>
          <w:lang w:val="es-ES"/>
        </w:rPr>
        <w:t xml:space="preserve"> </w:t>
      </w:r>
      <w:r w:rsidR="009421A8" w:rsidRPr="00947750">
        <w:rPr>
          <w:rFonts w:cs="Arial"/>
          <w:szCs w:val="24"/>
          <w:lang w:val="es-ES"/>
        </w:rPr>
        <w:t xml:space="preserve">id </w:t>
      </w:r>
      <w:proofErr w:type="spellStart"/>
      <w:r w:rsidR="009421A8" w:rsidRPr="00947750">
        <w:rPr>
          <w:rFonts w:cs="Arial"/>
          <w:szCs w:val="24"/>
          <w:lang w:val="es-ES"/>
        </w:rPr>
        <w:t>est</w:t>
      </w:r>
      <w:proofErr w:type="spellEnd"/>
      <w:r w:rsidR="009421A8" w:rsidRPr="00947750">
        <w:rPr>
          <w:rFonts w:cs="Arial"/>
          <w:szCs w:val="24"/>
          <w:lang w:val="es-ES"/>
        </w:rPr>
        <w:t xml:space="preserve">, </w:t>
      </w:r>
      <w:r w:rsidR="00EB68C8" w:rsidRPr="00947750">
        <w:rPr>
          <w:rFonts w:cs="Arial"/>
          <w:szCs w:val="24"/>
          <w:lang w:val="es-ES"/>
        </w:rPr>
        <w:t xml:space="preserve">conforme a la naturaleza paccionada del régimen foral, y con arreglo a lo </w:t>
      </w:r>
      <w:r w:rsidR="009B3D1B" w:rsidRPr="00947750">
        <w:rPr>
          <w:rFonts w:cs="Arial"/>
          <w:szCs w:val="24"/>
          <w:lang w:val="es-ES"/>
        </w:rPr>
        <w:t>dispuesto en el Convenio Económico entre el Estado y la Comunidad Foral de Navarra.</w:t>
      </w:r>
    </w:p>
    <w:p w:rsidR="00E85653" w:rsidRPr="00947750" w:rsidRDefault="00EB68C8" w:rsidP="00947750">
      <w:pPr>
        <w:pStyle w:val="OFICIO-12"/>
        <w:spacing w:before="0" w:after="300" w:line="340" w:lineRule="exact"/>
        <w:rPr>
          <w:rFonts w:cs="Arial"/>
          <w:szCs w:val="24"/>
          <w:lang w:val="es-ES"/>
        </w:rPr>
      </w:pPr>
      <w:r w:rsidRPr="00AD19A5">
        <w:rPr>
          <w:rFonts w:cs="Arial"/>
          <w:szCs w:val="24"/>
        </w:rPr>
        <w:tab/>
      </w:r>
      <w:r w:rsidRPr="00947750">
        <w:rPr>
          <w:rFonts w:cs="Arial"/>
          <w:szCs w:val="24"/>
          <w:lang w:val="es-ES"/>
        </w:rPr>
        <w:t>De igual modo, cualquier controversia que pudiera plantearse o suscitarse en relaci</w:t>
      </w:r>
      <w:r w:rsidR="005D1203" w:rsidRPr="00947750">
        <w:rPr>
          <w:rFonts w:cs="Arial"/>
          <w:szCs w:val="24"/>
          <w:lang w:val="es-ES"/>
        </w:rPr>
        <w:t>ó</w:t>
      </w:r>
      <w:r w:rsidRPr="00947750">
        <w:rPr>
          <w:rFonts w:cs="Arial"/>
          <w:szCs w:val="24"/>
          <w:lang w:val="es-ES"/>
        </w:rPr>
        <w:t xml:space="preserve">n con </w:t>
      </w:r>
      <w:r w:rsidR="00D97571" w:rsidRPr="00947750">
        <w:rPr>
          <w:rFonts w:cs="Arial"/>
          <w:szCs w:val="24"/>
          <w:lang w:val="es-ES"/>
        </w:rPr>
        <w:t xml:space="preserve">el cumplimiento de las medidas </w:t>
      </w:r>
      <w:r w:rsidRPr="00947750">
        <w:rPr>
          <w:rFonts w:cs="Arial"/>
          <w:szCs w:val="24"/>
          <w:lang w:val="es-ES"/>
        </w:rPr>
        <w:t xml:space="preserve">de estabilidad presupuestaria </w:t>
      </w:r>
      <w:r w:rsidR="00D97571" w:rsidRPr="00947750">
        <w:rPr>
          <w:rFonts w:cs="Arial"/>
          <w:szCs w:val="24"/>
          <w:lang w:val="es-ES"/>
        </w:rPr>
        <w:t xml:space="preserve">se resuelven </w:t>
      </w:r>
      <w:r w:rsidR="00D97571" w:rsidRPr="00D30C13">
        <w:rPr>
          <w:rFonts w:cs="Arial"/>
          <w:i/>
          <w:szCs w:val="24"/>
          <w:lang w:val="es-ES"/>
        </w:rPr>
        <w:t>bilater</w:t>
      </w:r>
      <w:r w:rsidR="005D1203" w:rsidRPr="00D30C13">
        <w:rPr>
          <w:rFonts w:cs="Arial"/>
          <w:i/>
          <w:szCs w:val="24"/>
          <w:lang w:val="es-ES"/>
        </w:rPr>
        <w:t>almente</w:t>
      </w:r>
      <w:r w:rsidR="005D1203" w:rsidRPr="00947750">
        <w:rPr>
          <w:rFonts w:cs="Arial"/>
          <w:szCs w:val="24"/>
          <w:lang w:val="es-ES"/>
        </w:rPr>
        <w:t xml:space="preserve"> </w:t>
      </w:r>
      <w:r w:rsidR="00D97571" w:rsidRPr="00947750">
        <w:rPr>
          <w:rFonts w:cs="Arial"/>
          <w:szCs w:val="24"/>
          <w:lang w:val="es-ES"/>
        </w:rPr>
        <w:t xml:space="preserve">entre Navarra y el Estado, tal como establece la mencionada </w:t>
      </w:r>
      <w:r w:rsidR="00E73FB8" w:rsidRPr="00947750">
        <w:rPr>
          <w:rFonts w:cs="Arial"/>
          <w:szCs w:val="24"/>
          <w:lang w:val="es-ES"/>
        </w:rPr>
        <w:t>D</w:t>
      </w:r>
      <w:r w:rsidR="00D97571" w:rsidRPr="00947750">
        <w:rPr>
          <w:rFonts w:cs="Arial"/>
          <w:szCs w:val="24"/>
          <w:lang w:val="es-ES"/>
        </w:rPr>
        <w:t xml:space="preserve">isposición </w:t>
      </w:r>
      <w:r w:rsidR="00E73FB8" w:rsidRPr="00947750">
        <w:rPr>
          <w:rFonts w:cs="Arial"/>
          <w:szCs w:val="24"/>
          <w:lang w:val="es-ES"/>
        </w:rPr>
        <w:t>Final T</w:t>
      </w:r>
      <w:r w:rsidR="00D97571" w:rsidRPr="00947750">
        <w:rPr>
          <w:rFonts w:cs="Arial"/>
          <w:szCs w:val="24"/>
          <w:lang w:val="es-ES"/>
        </w:rPr>
        <w:t>ercera de la LOESP</w:t>
      </w:r>
      <w:r w:rsidR="005D1203" w:rsidRPr="00947750">
        <w:rPr>
          <w:rFonts w:cs="Arial"/>
          <w:szCs w:val="24"/>
          <w:lang w:val="es-ES"/>
        </w:rPr>
        <w:t>, sin perjuicio de la competencia del Tribunal Constitucion</w:t>
      </w:r>
      <w:r w:rsidR="00083E80" w:rsidRPr="00947750">
        <w:rPr>
          <w:rFonts w:cs="Arial"/>
          <w:szCs w:val="24"/>
          <w:lang w:val="es-ES"/>
        </w:rPr>
        <w:t>al</w:t>
      </w:r>
      <w:r w:rsidR="005D1203" w:rsidRPr="00947750">
        <w:rPr>
          <w:rFonts w:cs="Arial"/>
          <w:szCs w:val="24"/>
          <w:lang w:val="es-ES"/>
        </w:rPr>
        <w:t>, si es llamado a pronunciarse a través d</w:t>
      </w:r>
      <w:r w:rsidR="00083E80" w:rsidRPr="00947750">
        <w:rPr>
          <w:rFonts w:cs="Arial"/>
          <w:szCs w:val="24"/>
          <w:lang w:val="es-ES"/>
        </w:rPr>
        <w:t xml:space="preserve">e los </w:t>
      </w:r>
      <w:r w:rsidR="005D1203" w:rsidRPr="00947750">
        <w:rPr>
          <w:rFonts w:cs="Arial"/>
          <w:szCs w:val="24"/>
          <w:lang w:val="es-ES"/>
        </w:rPr>
        <w:t xml:space="preserve">cauces jurisdiccionales pertinentes. </w:t>
      </w:r>
      <w:r w:rsidR="00D97571" w:rsidRPr="00947750">
        <w:rPr>
          <w:rFonts w:cs="Arial"/>
          <w:szCs w:val="24"/>
          <w:lang w:val="es-ES"/>
        </w:rPr>
        <w:t xml:space="preserve"> </w:t>
      </w:r>
    </w:p>
    <w:p w:rsidR="00D97571" w:rsidRPr="00947750" w:rsidRDefault="00D97571" w:rsidP="00947750">
      <w:pPr>
        <w:pStyle w:val="OFICIO-12"/>
        <w:spacing w:before="0" w:after="300" w:line="340" w:lineRule="exact"/>
        <w:rPr>
          <w:rFonts w:cs="Arial"/>
          <w:szCs w:val="24"/>
          <w:lang w:val="es-ES"/>
        </w:rPr>
      </w:pPr>
      <w:r w:rsidRPr="00947750">
        <w:rPr>
          <w:rFonts w:cs="Arial"/>
          <w:szCs w:val="24"/>
          <w:lang w:val="es-ES"/>
        </w:rPr>
        <w:tab/>
        <w:t>Finalmente cabe añadir</w:t>
      </w:r>
      <w:r w:rsidR="00083E80" w:rsidRPr="00947750">
        <w:rPr>
          <w:rFonts w:cs="Arial"/>
          <w:szCs w:val="24"/>
          <w:lang w:val="es-ES"/>
        </w:rPr>
        <w:t>,</w:t>
      </w:r>
      <w:r w:rsidRPr="00947750">
        <w:rPr>
          <w:rFonts w:cs="Arial"/>
          <w:szCs w:val="24"/>
          <w:lang w:val="es-ES"/>
        </w:rPr>
        <w:t xml:space="preserve"> que </w:t>
      </w:r>
      <w:r w:rsidR="007813B4" w:rsidRPr="00947750">
        <w:rPr>
          <w:rFonts w:cs="Arial"/>
          <w:szCs w:val="24"/>
          <w:lang w:val="es-ES"/>
        </w:rPr>
        <w:t>el</w:t>
      </w:r>
      <w:r w:rsidRPr="00947750">
        <w:rPr>
          <w:rFonts w:cs="Arial"/>
          <w:szCs w:val="24"/>
          <w:lang w:val="es-ES"/>
        </w:rPr>
        <w:t xml:space="preserve"> nuevo escenario presupuestario derivado de la entrada en vigor de la </w:t>
      </w:r>
      <w:r w:rsidR="00083E80" w:rsidRPr="00947750">
        <w:rPr>
          <w:rFonts w:cs="Arial"/>
          <w:szCs w:val="24"/>
          <w:lang w:val="es-ES"/>
        </w:rPr>
        <w:t xml:space="preserve">mencionada </w:t>
      </w:r>
      <w:r w:rsidRPr="00947750">
        <w:rPr>
          <w:rFonts w:cs="Arial"/>
          <w:szCs w:val="24"/>
          <w:lang w:val="es-ES"/>
        </w:rPr>
        <w:t xml:space="preserve">regulación estatal y comunitaria </w:t>
      </w:r>
      <w:r w:rsidR="00E73FB8" w:rsidRPr="00947750">
        <w:rPr>
          <w:rFonts w:cs="Arial"/>
          <w:szCs w:val="24"/>
          <w:lang w:val="es-ES"/>
        </w:rPr>
        <w:t xml:space="preserve">puede hacer </w:t>
      </w:r>
      <w:r w:rsidRPr="00947750">
        <w:rPr>
          <w:rFonts w:cs="Arial"/>
          <w:szCs w:val="24"/>
          <w:lang w:val="es-ES"/>
        </w:rPr>
        <w:t>aconsejable la revisión de</w:t>
      </w:r>
      <w:r w:rsidR="00256944" w:rsidRPr="00947750">
        <w:rPr>
          <w:rFonts w:cs="Arial"/>
          <w:szCs w:val="24"/>
          <w:lang w:val="es-ES"/>
        </w:rPr>
        <w:t xml:space="preserve">l Título II de </w:t>
      </w:r>
      <w:r w:rsidRPr="00947750">
        <w:rPr>
          <w:rFonts w:cs="Arial"/>
          <w:szCs w:val="24"/>
          <w:lang w:val="es-ES"/>
        </w:rPr>
        <w:t>la Ley F</w:t>
      </w:r>
      <w:r w:rsidR="00AD19A5" w:rsidRPr="00947750">
        <w:rPr>
          <w:rFonts w:cs="Arial"/>
          <w:szCs w:val="24"/>
          <w:lang w:val="es-ES"/>
        </w:rPr>
        <w:t xml:space="preserve">oral </w:t>
      </w:r>
      <w:r w:rsidR="00083E80" w:rsidRPr="00947750">
        <w:rPr>
          <w:rFonts w:cs="Arial"/>
          <w:szCs w:val="24"/>
          <w:lang w:val="es-ES"/>
        </w:rPr>
        <w:t>13/2007, de 4 abril, de</w:t>
      </w:r>
      <w:r w:rsidRPr="00947750">
        <w:rPr>
          <w:rFonts w:cs="Arial"/>
          <w:szCs w:val="24"/>
          <w:lang w:val="es-ES"/>
        </w:rPr>
        <w:t xml:space="preserve"> </w:t>
      </w:r>
      <w:r w:rsidR="00083E80" w:rsidRPr="00D30C13">
        <w:rPr>
          <w:rFonts w:cs="Arial"/>
          <w:i/>
          <w:szCs w:val="24"/>
          <w:lang w:val="es-ES"/>
        </w:rPr>
        <w:t>H</w:t>
      </w:r>
      <w:r w:rsidRPr="00D30C13">
        <w:rPr>
          <w:rFonts w:cs="Arial"/>
          <w:i/>
          <w:szCs w:val="24"/>
          <w:lang w:val="es-ES"/>
        </w:rPr>
        <w:t>acienda Pública de Navarra</w:t>
      </w:r>
      <w:r w:rsidRPr="00947750">
        <w:rPr>
          <w:rFonts w:cs="Arial"/>
          <w:szCs w:val="24"/>
          <w:lang w:val="es-ES"/>
        </w:rPr>
        <w:t xml:space="preserve">, </w:t>
      </w:r>
      <w:r w:rsidR="00256944" w:rsidRPr="00947750">
        <w:rPr>
          <w:rFonts w:cs="Arial"/>
          <w:szCs w:val="24"/>
          <w:lang w:val="es-ES"/>
        </w:rPr>
        <w:t xml:space="preserve">-De los Presupuestos Generales de Navarra- </w:t>
      </w:r>
      <w:r w:rsidR="00080F95" w:rsidRPr="00947750">
        <w:rPr>
          <w:rFonts w:cs="Arial"/>
          <w:szCs w:val="24"/>
          <w:lang w:val="es-ES"/>
        </w:rPr>
        <w:t xml:space="preserve">así como del Reglamento del Parlamento de Navarra, </w:t>
      </w:r>
      <w:r w:rsidRPr="00947750">
        <w:rPr>
          <w:rFonts w:cs="Arial"/>
          <w:szCs w:val="24"/>
          <w:lang w:val="es-ES"/>
        </w:rPr>
        <w:t xml:space="preserve">para contemplar aquellos aspectos que convengan a </w:t>
      </w:r>
      <w:r w:rsidR="00AD19A5" w:rsidRPr="00947750">
        <w:rPr>
          <w:rFonts w:cs="Arial"/>
          <w:szCs w:val="24"/>
          <w:lang w:val="es-ES"/>
        </w:rPr>
        <w:t xml:space="preserve">la nueva situación jurídica expuesta.  </w:t>
      </w:r>
      <w:r w:rsidRPr="00947750">
        <w:rPr>
          <w:rFonts w:cs="Arial"/>
          <w:szCs w:val="24"/>
          <w:lang w:val="es-ES"/>
        </w:rPr>
        <w:t xml:space="preserve">  </w:t>
      </w:r>
    </w:p>
    <w:p w:rsidR="007B05E5" w:rsidRPr="00947750" w:rsidRDefault="007B05E5" w:rsidP="00947750">
      <w:pPr>
        <w:pStyle w:val="OFICIO-12"/>
        <w:spacing w:before="0" w:after="300" w:line="340" w:lineRule="exact"/>
        <w:jc w:val="center"/>
        <w:rPr>
          <w:rFonts w:cs="Arial"/>
          <w:b/>
          <w:szCs w:val="24"/>
          <w:lang w:val="es-ES"/>
        </w:rPr>
      </w:pPr>
      <w:r w:rsidRPr="00947750">
        <w:rPr>
          <w:rFonts w:cs="Arial"/>
          <w:b/>
          <w:szCs w:val="24"/>
          <w:lang w:val="es-ES"/>
        </w:rPr>
        <w:t>CONCLUSIONES</w:t>
      </w:r>
    </w:p>
    <w:p w:rsidR="0054372F" w:rsidRPr="00947750" w:rsidRDefault="00080F95" w:rsidP="00947750">
      <w:pPr>
        <w:pStyle w:val="OFICIO-12"/>
        <w:spacing w:before="0" w:after="300" w:line="340" w:lineRule="exact"/>
        <w:rPr>
          <w:rFonts w:cs="Arial"/>
          <w:szCs w:val="24"/>
          <w:lang w:val="es-ES"/>
        </w:rPr>
      </w:pPr>
      <w:r w:rsidRPr="00947750">
        <w:rPr>
          <w:rFonts w:cs="Arial"/>
          <w:b/>
          <w:szCs w:val="24"/>
          <w:lang w:val="es-ES"/>
        </w:rPr>
        <w:t>Primera:</w:t>
      </w:r>
      <w:r w:rsidR="0054372F" w:rsidRPr="00947750">
        <w:rPr>
          <w:rFonts w:cs="Arial"/>
          <w:b/>
          <w:szCs w:val="24"/>
          <w:lang w:val="es-ES"/>
        </w:rPr>
        <w:t xml:space="preserve"> </w:t>
      </w:r>
      <w:r w:rsidR="0054372F" w:rsidRPr="00947750">
        <w:rPr>
          <w:rFonts w:cs="Arial"/>
          <w:szCs w:val="24"/>
          <w:lang w:val="es-ES"/>
        </w:rPr>
        <w:t xml:space="preserve">La determinación del techo de gasto inicial del Estado como trámite presupuestario previo a la aprobación de los Presupuestos Generales del Estado (PGE) donde finalmente se fija el monto del régimen de la participación de ingresos para determinados tributos estatales para las CC.AA de régimen LOFCA y Administraciones locales, no se aplica </w:t>
      </w:r>
      <w:r w:rsidR="00C90D44" w:rsidRPr="00947750">
        <w:rPr>
          <w:rFonts w:cs="Arial"/>
          <w:szCs w:val="24"/>
          <w:lang w:val="es-ES"/>
        </w:rPr>
        <w:t xml:space="preserve">formalmente </w:t>
      </w:r>
      <w:r w:rsidR="0054372F" w:rsidRPr="00947750">
        <w:rPr>
          <w:rFonts w:cs="Arial"/>
          <w:szCs w:val="24"/>
          <w:lang w:val="es-ES"/>
        </w:rPr>
        <w:t>a la Hacienda Foral de Navarra que fija su techo de gasto</w:t>
      </w:r>
      <w:r w:rsidR="00D6743D" w:rsidRPr="00947750">
        <w:rPr>
          <w:rFonts w:cs="Arial"/>
          <w:szCs w:val="24"/>
          <w:lang w:val="es-ES"/>
        </w:rPr>
        <w:t xml:space="preserve"> presupuestario</w:t>
      </w:r>
      <w:r w:rsidR="0054372F" w:rsidRPr="00947750">
        <w:rPr>
          <w:rFonts w:cs="Arial"/>
          <w:szCs w:val="24"/>
          <w:lang w:val="es-ES"/>
        </w:rPr>
        <w:t xml:space="preserve"> </w:t>
      </w:r>
      <w:r w:rsidR="007F1964" w:rsidRPr="00947750">
        <w:rPr>
          <w:rFonts w:cs="Arial"/>
          <w:szCs w:val="24"/>
          <w:lang w:val="es-ES"/>
        </w:rPr>
        <w:t xml:space="preserve">anual </w:t>
      </w:r>
      <w:r w:rsidR="00E73FB8" w:rsidRPr="00947750">
        <w:rPr>
          <w:rFonts w:cs="Arial"/>
          <w:szCs w:val="24"/>
          <w:lang w:val="es-ES"/>
        </w:rPr>
        <w:t xml:space="preserve">a través de la aprobación de la Ley Foral de Presupuestos </w:t>
      </w:r>
      <w:r w:rsidR="003D0B8D" w:rsidRPr="00947750">
        <w:rPr>
          <w:rFonts w:cs="Arial"/>
          <w:szCs w:val="24"/>
          <w:lang w:val="es-ES"/>
        </w:rPr>
        <w:t>a través de</w:t>
      </w:r>
      <w:r w:rsidR="0054372F" w:rsidRPr="00947750">
        <w:rPr>
          <w:rFonts w:cs="Arial"/>
          <w:szCs w:val="24"/>
          <w:lang w:val="es-ES"/>
        </w:rPr>
        <w:t xml:space="preserve"> la previsión de ingresos</w:t>
      </w:r>
      <w:r w:rsidR="007F1964" w:rsidRPr="00947750">
        <w:rPr>
          <w:rFonts w:cs="Arial"/>
          <w:szCs w:val="24"/>
          <w:lang w:val="es-ES"/>
        </w:rPr>
        <w:t xml:space="preserve"> propios de su régimen tributario</w:t>
      </w:r>
      <w:r w:rsidR="0054372F" w:rsidRPr="00947750">
        <w:rPr>
          <w:rFonts w:cs="Arial"/>
          <w:szCs w:val="24"/>
          <w:lang w:val="es-ES"/>
        </w:rPr>
        <w:t>,</w:t>
      </w:r>
      <w:r w:rsidR="00C90D44" w:rsidRPr="00947750">
        <w:rPr>
          <w:rFonts w:cs="Arial"/>
          <w:szCs w:val="24"/>
          <w:lang w:val="es-ES"/>
        </w:rPr>
        <w:t xml:space="preserve"> </w:t>
      </w:r>
      <w:r w:rsidR="0054372F" w:rsidRPr="00947750">
        <w:rPr>
          <w:rFonts w:cs="Arial"/>
          <w:szCs w:val="24"/>
          <w:lang w:val="es-ES"/>
        </w:rPr>
        <w:t xml:space="preserve">en el marco de los escenarios presupuestarios pactados con el Ministerio de Hacienda </w:t>
      </w:r>
      <w:r w:rsidR="00C90D44" w:rsidRPr="00947750">
        <w:rPr>
          <w:rFonts w:cs="Arial"/>
          <w:szCs w:val="24"/>
          <w:lang w:val="es-ES"/>
        </w:rPr>
        <w:t xml:space="preserve">para el cómputo del déficits autorizados. </w:t>
      </w:r>
    </w:p>
    <w:p w:rsidR="00080F95" w:rsidRPr="00947750" w:rsidRDefault="00D6743D" w:rsidP="00947750">
      <w:pPr>
        <w:pStyle w:val="OFICIO-12"/>
        <w:spacing w:before="0" w:after="300" w:line="340" w:lineRule="exact"/>
        <w:rPr>
          <w:rFonts w:cs="Arial"/>
          <w:szCs w:val="24"/>
          <w:lang w:val="es-ES"/>
        </w:rPr>
      </w:pPr>
      <w:r w:rsidRPr="00947750">
        <w:rPr>
          <w:rFonts w:cs="Arial"/>
          <w:b/>
          <w:szCs w:val="24"/>
          <w:lang w:val="es-ES"/>
        </w:rPr>
        <w:t>Segunda:</w:t>
      </w:r>
      <w:r w:rsidR="007F1964" w:rsidRPr="00947750">
        <w:rPr>
          <w:rFonts w:cs="Arial"/>
          <w:szCs w:val="24"/>
          <w:lang w:val="es-ES"/>
        </w:rPr>
        <w:t xml:space="preserve"> </w:t>
      </w:r>
      <w:r w:rsidR="00080F95" w:rsidRPr="00947750">
        <w:rPr>
          <w:rFonts w:cs="Arial"/>
          <w:szCs w:val="24"/>
          <w:lang w:val="es-ES"/>
        </w:rPr>
        <w:t xml:space="preserve">La Comunidad </w:t>
      </w:r>
      <w:r w:rsidR="000069A9" w:rsidRPr="00947750">
        <w:rPr>
          <w:rFonts w:cs="Arial"/>
          <w:szCs w:val="24"/>
          <w:lang w:val="es-ES"/>
        </w:rPr>
        <w:t>F</w:t>
      </w:r>
      <w:r w:rsidR="00080F95" w:rsidRPr="00947750">
        <w:rPr>
          <w:rFonts w:cs="Arial"/>
          <w:szCs w:val="24"/>
          <w:lang w:val="es-ES"/>
        </w:rPr>
        <w:t xml:space="preserve">oral </w:t>
      </w:r>
      <w:r w:rsidR="0054372F" w:rsidRPr="00947750">
        <w:rPr>
          <w:rFonts w:cs="Arial"/>
          <w:szCs w:val="24"/>
          <w:lang w:val="es-ES"/>
        </w:rPr>
        <w:t xml:space="preserve">de Navarra debe observar </w:t>
      </w:r>
      <w:r w:rsidR="00080F95" w:rsidRPr="00947750">
        <w:rPr>
          <w:rFonts w:cs="Arial"/>
          <w:szCs w:val="24"/>
          <w:lang w:val="es-ES"/>
        </w:rPr>
        <w:t xml:space="preserve">el nuevo </w:t>
      </w:r>
      <w:r w:rsidR="007741A0" w:rsidRPr="00947750">
        <w:rPr>
          <w:rFonts w:cs="Arial"/>
          <w:szCs w:val="24"/>
          <w:lang w:val="es-ES"/>
        </w:rPr>
        <w:t xml:space="preserve">régimen </w:t>
      </w:r>
      <w:r w:rsidR="007813B4" w:rsidRPr="00947750">
        <w:rPr>
          <w:rFonts w:cs="Arial"/>
          <w:szCs w:val="24"/>
          <w:lang w:val="es-ES"/>
        </w:rPr>
        <w:t xml:space="preserve">jurídico constitucional y legal </w:t>
      </w:r>
      <w:r w:rsidR="00080F95" w:rsidRPr="00947750">
        <w:rPr>
          <w:rFonts w:cs="Arial"/>
          <w:szCs w:val="24"/>
          <w:lang w:val="es-ES"/>
        </w:rPr>
        <w:t>de estabilidad presupuestaria fruto de la modif</w:t>
      </w:r>
      <w:r w:rsidR="0054372F" w:rsidRPr="00947750">
        <w:rPr>
          <w:rFonts w:cs="Arial"/>
          <w:szCs w:val="24"/>
          <w:lang w:val="es-ES"/>
        </w:rPr>
        <w:t>i</w:t>
      </w:r>
      <w:r w:rsidR="00080F95" w:rsidRPr="00947750">
        <w:rPr>
          <w:rFonts w:cs="Arial"/>
          <w:szCs w:val="24"/>
          <w:lang w:val="es-ES"/>
        </w:rPr>
        <w:t>caci</w:t>
      </w:r>
      <w:r w:rsidR="0054372F" w:rsidRPr="00947750">
        <w:rPr>
          <w:rFonts w:cs="Arial"/>
          <w:szCs w:val="24"/>
          <w:lang w:val="es-ES"/>
        </w:rPr>
        <w:t>ón del art</w:t>
      </w:r>
      <w:r w:rsidR="003D0B8D" w:rsidRPr="00947750">
        <w:rPr>
          <w:rFonts w:cs="Arial"/>
          <w:szCs w:val="24"/>
          <w:lang w:val="es-ES"/>
        </w:rPr>
        <w:t>í</w:t>
      </w:r>
      <w:r w:rsidR="007741A0" w:rsidRPr="00947750">
        <w:rPr>
          <w:rFonts w:cs="Arial"/>
          <w:szCs w:val="24"/>
          <w:lang w:val="es-ES"/>
        </w:rPr>
        <w:t>culo</w:t>
      </w:r>
      <w:r w:rsidR="0054372F" w:rsidRPr="00947750">
        <w:rPr>
          <w:rFonts w:cs="Arial"/>
          <w:szCs w:val="24"/>
          <w:lang w:val="es-ES"/>
        </w:rPr>
        <w:t xml:space="preserve"> 135 CE,</w:t>
      </w:r>
      <w:r w:rsidR="000069A9" w:rsidRPr="00947750">
        <w:rPr>
          <w:rFonts w:cs="Arial"/>
          <w:szCs w:val="24"/>
          <w:lang w:val="es-ES"/>
        </w:rPr>
        <w:t xml:space="preserve"> y de la Ley Orgánica </w:t>
      </w:r>
      <w:r w:rsidR="0054372F" w:rsidRPr="00947750">
        <w:rPr>
          <w:rFonts w:cs="Arial"/>
          <w:szCs w:val="24"/>
          <w:lang w:val="es-ES"/>
        </w:rPr>
        <w:t>2/</w:t>
      </w:r>
      <w:r w:rsidR="00080F95" w:rsidRPr="00947750">
        <w:rPr>
          <w:rFonts w:cs="Arial"/>
          <w:szCs w:val="24"/>
          <w:lang w:val="es-ES"/>
        </w:rPr>
        <w:t xml:space="preserve">2012, de </w:t>
      </w:r>
      <w:r w:rsidR="00080F95" w:rsidRPr="00D30C13">
        <w:rPr>
          <w:rFonts w:cs="Arial"/>
          <w:i/>
          <w:szCs w:val="24"/>
          <w:lang w:val="es-ES"/>
        </w:rPr>
        <w:t>Estabilidad Presupuesta</w:t>
      </w:r>
      <w:r w:rsidR="0054372F" w:rsidRPr="00D30C13">
        <w:rPr>
          <w:rFonts w:cs="Arial"/>
          <w:i/>
          <w:szCs w:val="24"/>
          <w:lang w:val="es-ES"/>
        </w:rPr>
        <w:t>ria</w:t>
      </w:r>
      <w:r w:rsidR="00D30C13">
        <w:rPr>
          <w:rFonts w:cs="Arial"/>
          <w:i/>
          <w:szCs w:val="24"/>
          <w:lang w:val="es-ES"/>
        </w:rPr>
        <w:t xml:space="preserve"> y Sostenibilidad F</w:t>
      </w:r>
      <w:r w:rsidR="00080F95" w:rsidRPr="00D30C13">
        <w:rPr>
          <w:rFonts w:cs="Arial"/>
          <w:i/>
          <w:szCs w:val="24"/>
          <w:lang w:val="es-ES"/>
        </w:rPr>
        <w:t>inanciera</w:t>
      </w:r>
      <w:r w:rsidR="000069A9" w:rsidRPr="00947750">
        <w:rPr>
          <w:rFonts w:cs="Arial"/>
          <w:szCs w:val="24"/>
          <w:lang w:val="es-ES"/>
        </w:rPr>
        <w:t>,</w:t>
      </w:r>
      <w:r w:rsidR="00080F95" w:rsidRPr="00947750">
        <w:rPr>
          <w:rFonts w:cs="Arial"/>
          <w:szCs w:val="24"/>
          <w:lang w:val="es-ES"/>
        </w:rPr>
        <w:t xml:space="preserve"> </w:t>
      </w:r>
      <w:r w:rsidR="000733CD" w:rsidRPr="00947750">
        <w:rPr>
          <w:rFonts w:cs="Arial"/>
          <w:szCs w:val="24"/>
          <w:lang w:val="es-ES"/>
        </w:rPr>
        <w:t>-</w:t>
      </w:r>
      <w:r w:rsidR="007813B4" w:rsidRPr="00947750">
        <w:rPr>
          <w:rFonts w:cs="Arial"/>
          <w:szCs w:val="24"/>
          <w:lang w:val="es-ES"/>
        </w:rPr>
        <w:t>según</w:t>
      </w:r>
      <w:r w:rsidR="000733CD" w:rsidRPr="00947750">
        <w:rPr>
          <w:rFonts w:cs="Arial"/>
          <w:szCs w:val="24"/>
          <w:lang w:val="es-ES"/>
        </w:rPr>
        <w:t xml:space="preserve"> señala la D</w:t>
      </w:r>
      <w:r w:rsidR="003D0B8D" w:rsidRPr="00947750">
        <w:rPr>
          <w:rFonts w:cs="Arial"/>
          <w:szCs w:val="24"/>
          <w:lang w:val="es-ES"/>
        </w:rPr>
        <w:t>F3ª.1</w:t>
      </w:r>
      <w:r w:rsidR="000733CD" w:rsidRPr="00947750">
        <w:rPr>
          <w:rFonts w:cs="Arial"/>
          <w:szCs w:val="24"/>
          <w:lang w:val="es-ES"/>
        </w:rPr>
        <w:t xml:space="preserve"> de la LOEPSF- en el marco de</w:t>
      </w:r>
      <w:r w:rsidR="007813B4" w:rsidRPr="00947750">
        <w:rPr>
          <w:rFonts w:cs="Arial"/>
          <w:szCs w:val="24"/>
          <w:lang w:val="es-ES"/>
        </w:rPr>
        <w:t xml:space="preserve"> lo dispuesto </w:t>
      </w:r>
      <w:r w:rsidR="00080F95" w:rsidRPr="00947750">
        <w:rPr>
          <w:rFonts w:cs="Arial"/>
          <w:szCs w:val="24"/>
          <w:lang w:val="es-ES"/>
        </w:rPr>
        <w:t>en el art</w:t>
      </w:r>
      <w:r w:rsidR="000069A9" w:rsidRPr="00947750">
        <w:rPr>
          <w:rFonts w:cs="Arial"/>
          <w:szCs w:val="24"/>
          <w:lang w:val="es-ES"/>
        </w:rPr>
        <w:t>í</w:t>
      </w:r>
      <w:r w:rsidR="00080F95" w:rsidRPr="00947750">
        <w:rPr>
          <w:rFonts w:cs="Arial"/>
          <w:szCs w:val="24"/>
          <w:lang w:val="es-ES"/>
        </w:rPr>
        <w:t>culo 64 de la Ley Orgánica de Reintegración y Amejoramiento del Régimen Foral de Navarra, es decir conforme a la naturaleza paccionada del régimen foral, y con arreglo a lo dispuesto en el Convenio Económico entre el Estado y la Comunidad Foral de Navarra.</w:t>
      </w:r>
    </w:p>
    <w:p w:rsidR="007813B4" w:rsidRPr="00947750" w:rsidRDefault="00947750" w:rsidP="00947750">
      <w:pPr>
        <w:pStyle w:val="OFICIO-12"/>
        <w:spacing w:before="0" w:after="300" w:line="340" w:lineRule="exact"/>
        <w:rPr>
          <w:rFonts w:cs="Arial"/>
          <w:szCs w:val="24"/>
          <w:lang w:val="es-ES"/>
        </w:rPr>
      </w:pPr>
      <w:r>
        <w:rPr>
          <w:rFonts w:cs="Arial"/>
          <w:b/>
          <w:szCs w:val="24"/>
          <w:lang w:val="es-ES"/>
        </w:rPr>
        <w:t>Tercera</w:t>
      </w:r>
      <w:r w:rsidR="007813B4" w:rsidRPr="00947750">
        <w:rPr>
          <w:rFonts w:cs="Arial"/>
          <w:b/>
          <w:szCs w:val="24"/>
          <w:lang w:val="es-ES"/>
        </w:rPr>
        <w:t>:</w:t>
      </w:r>
      <w:r w:rsidR="007813B4" w:rsidRPr="00947750">
        <w:rPr>
          <w:rFonts w:cs="Arial"/>
          <w:szCs w:val="24"/>
          <w:lang w:val="es-ES"/>
        </w:rPr>
        <w:t xml:space="preserve"> El nuevo escenario presupuestario</w:t>
      </w:r>
      <w:r w:rsidR="000069A9" w:rsidRPr="00947750">
        <w:rPr>
          <w:rFonts w:cs="Arial"/>
          <w:szCs w:val="24"/>
          <w:lang w:val="es-ES"/>
        </w:rPr>
        <w:t xml:space="preserve"> </w:t>
      </w:r>
      <w:r w:rsidR="007813B4" w:rsidRPr="00947750">
        <w:rPr>
          <w:rFonts w:cs="Arial"/>
          <w:szCs w:val="24"/>
          <w:lang w:val="es-ES"/>
        </w:rPr>
        <w:t>derivado de la entrada en vigor de la mencionada regulación estatal y comunitaria</w:t>
      </w:r>
      <w:r w:rsidR="006D63AC" w:rsidRPr="00947750">
        <w:rPr>
          <w:rFonts w:cs="Arial"/>
          <w:szCs w:val="24"/>
          <w:lang w:val="es-ES"/>
        </w:rPr>
        <w:t xml:space="preserve">, puede hacer </w:t>
      </w:r>
      <w:r w:rsidR="007813B4" w:rsidRPr="00947750">
        <w:rPr>
          <w:rFonts w:cs="Arial"/>
          <w:szCs w:val="24"/>
          <w:lang w:val="es-ES"/>
        </w:rPr>
        <w:t>aconsejable la revisión del Título II de la Ley Foral 13/2007, de 4 abril, de Hacienda Pública de Navarra, -De los Presupuestos Generales de Navarra- así como del Reglamento del Parlamento de Navarra, para contemplar aqu</w:t>
      </w:r>
      <w:r w:rsidR="006D63AC" w:rsidRPr="00947750">
        <w:rPr>
          <w:rFonts w:cs="Arial"/>
          <w:szCs w:val="24"/>
          <w:lang w:val="es-ES"/>
        </w:rPr>
        <w:t>é</w:t>
      </w:r>
      <w:r w:rsidR="007813B4" w:rsidRPr="00947750">
        <w:rPr>
          <w:rFonts w:cs="Arial"/>
          <w:szCs w:val="24"/>
          <w:lang w:val="es-ES"/>
        </w:rPr>
        <w:t xml:space="preserve">llos aspectos que convengan a la nueva situación jurídica expuesta.    </w:t>
      </w:r>
    </w:p>
    <w:p w:rsidR="007B05E5" w:rsidRPr="00AD19A5" w:rsidRDefault="007B05E5" w:rsidP="00797C4D">
      <w:pPr>
        <w:pStyle w:val="INF-TEXTO"/>
        <w:rPr>
          <w:rFonts w:cs="Arial"/>
          <w:szCs w:val="24"/>
        </w:rPr>
      </w:pPr>
      <w:r w:rsidRPr="00AD19A5">
        <w:rPr>
          <w:rFonts w:cs="Arial"/>
          <w:szCs w:val="24"/>
        </w:rPr>
        <w:t>Esta es nuestra nota-informe que, como siempre, sometemos a cualquier otra mejor fundada en Derecho.</w:t>
      </w:r>
    </w:p>
    <w:p w:rsidR="007B05E5" w:rsidRPr="00AD19A5" w:rsidRDefault="007B05E5" w:rsidP="007B05E5">
      <w:pPr>
        <w:pStyle w:val="INF-FECHA"/>
        <w:rPr>
          <w:rFonts w:cs="Arial"/>
          <w:szCs w:val="24"/>
        </w:rPr>
      </w:pPr>
      <w:r w:rsidRPr="00AD19A5">
        <w:rPr>
          <w:rFonts w:cs="Arial"/>
          <w:szCs w:val="24"/>
        </w:rPr>
        <w:t xml:space="preserve">Pamplona, </w:t>
      </w:r>
      <w:r w:rsidR="00AD5B0C" w:rsidRPr="00AD19A5">
        <w:rPr>
          <w:rFonts w:cs="Arial"/>
          <w:szCs w:val="24"/>
        </w:rPr>
        <w:t xml:space="preserve">10 de noviembre </w:t>
      </w:r>
      <w:r w:rsidRPr="00AD19A5">
        <w:rPr>
          <w:rFonts w:cs="Arial"/>
          <w:szCs w:val="24"/>
        </w:rPr>
        <w:t>de 2016</w:t>
      </w:r>
    </w:p>
    <w:p w:rsidR="007B05E5" w:rsidRPr="00AD19A5" w:rsidRDefault="007B05E5" w:rsidP="007B05E5">
      <w:pPr>
        <w:pStyle w:val="INF-FIRMA"/>
        <w:rPr>
          <w:rFonts w:ascii="Arial" w:hAnsi="Arial" w:cs="Arial"/>
          <w:sz w:val="24"/>
          <w:szCs w:val="24"/>
        </w:rPr>
      </w:pPr>
      <w:r w:rsidRPr="00AD19A5">
        <w:rPr>
          <w:rFonts w:ascii="Arial" w:hAnsi="Arial" w:cs="Arial"/>
          <w:sz w:val="24"/>
          <w:szCs w:val="24"/>
        </w:rPr>
        <w:t>El Le</w:t>
      </w:r>
      <w:bookmarkStart w:id="0" w:name="_GoBack"/>
      <w:bookmarkEnd w:id="0"/>
      <w:r w:rsidRPr="00AD19A5">
        <w:rPr>
          <w:rFonts w:ascii="Arial" w:hAnsi="Arial" w:cs="Arial"/>
          <w:sz w:val="24"/>
          <w:szCs w:val="24"/>
        </w:rPr>
        <w:t>trado,</w:t>
      </w:r>
    </w:p>
    <w:p w:rsidR="007B05E5" w:rsidRPr="00AD19A5" w:rsidRDefault="007B05E5" w:rsidP="007B05E5">
      <w:pPr>
        <w:widowControl w:val="0"/>
        <w:tabs>
          <w:tab w:val="left" w:pos="432"/>
          <w:tab w:val="center" w:pos="4176"/>
        </w:tabs>
        <w:spacing w:line="240" w:lineRule="atLeast"/>
        <w:jc w:val="center"/>
        <w:rPr>
          <w:rFonts w:ascii="Arial" w:hAnsi="Arial" w:cs="Arial"/>
          <w:sz w:val="24"/>
          <w:szCs w:val="24"/>
        </w:rPr>
      </w:pPr>
      <w:r w:rsidRPr="00AD19A5">
        <w:rPr>
          <w:rFonts w:ascii="Arial" w:hAnsi="Arial" w:cs="Arial"/>
          <w:sz w:val="24"/>
          <w:szCs w:val="24"/>
        </w:rPr>
        <w:t>Manuel Pulido Quecedo</w:t>
      </w:r>
    </w:p>
    <w:p w:rsidR="007B05E5" w:rsidRPr="00AD19A5" w:rsidRDefault="007B05E5" w:rsidP="007B05E5">
      <w:pPr>
        <w:widowControl w:val="0"/>
        <w:tabs>
          <w:tab w:val="left" w:pos="432"/>
          <w:tab w:val="left" w:pos="3261"/>
          <w:tab w:val="center" w:pos="4176"/>
        </w:tabs>
        <w:spacing w:line="240" w:lineRule="atLeast"/>
        <w:jc w:val="center"/>
        <w:rPr>
          <w:rFonts w:ascii="Arial" w:hAnsi="Arial" w:cs="Arial"/>
          <w:sz w:val="24"/>
          <w:szCs w:val="24"/>
        </w:rPr>
      </w:pPr>
    </w:p>
    <w:p w:rsidR="007B05E5" w:rsidRPr="00AD19A5" w:rsidRDefault="007B05E5" w:rsidP="00BE40B4">
      <w:pPr>
        <w:spacing w:after="0"/>
        <w:ind w:right="4706"/>
        <w:jc w:val="center"/>
        <w:rPr>
          <w:rFonts w:ascii="Arial" w:hAnsi="Arial" w:cs="Arial"/>
          <w:smallCaps/>
          <w:sz w:val="24"/>
          <w:szCs w:val="24"/>
        </w:rPr>
      </w:pPr>
      <w:r w:rsidRPr="00AD19A5">
        <w:rPr>
          <w:rFonts w:ascii="Arial" w:hAnsi="Arial" w:cs="Arial"/>
          <w:smallCaps/>
          <w:sz w:val="24"/>
          <w:szCs w:val="24"/>
        </w:rPr>
        <w:t>Conforme:</w:t>
      </w:r>
    </w:p>
    <w:p w:rsidR="007B05E5" w:rsidRDefault="007B05E5" w:rsidP="00BE40B4">
      <w:pPr>
        <w:pStyle w:val="INF-FIRMA"/>
        <w:spacing w:after="0"/>
        <w:ind w:right="4706"/>
        <w:rPr>
          <w:rFonts w:ascii="Arial" w:hAnsi="Arial" w:cs="Arial"/>
          <w:sz w:val="24"/>
          <w:szCs w:val="24"/>
        </w:rPr>
      </w:pPr>
      <w:r w:rsidRPr="00AD19A5">
        <w:rPr>
          <w:rFonts w:ascii="Arial" w:hAnsi="Arial" w:cs="Arial"/>
          <w:sz w:val="24"/>
          <w:szCs w:val="24"/>
        </w:rPr>
        <w:t>La Letrada Mayor,</w:t>
      </w:r>
    </w:p>
    <w:p w:rsidR="00BE40B4" w:rsidRDefault="00BE40B4" w:rsidP="00BE40B4">
      <w:pPr>
        <w:pStyle w:val="INF-FIRMA"/>
        <w:spacing w:after="0"/>
        <w:ind w:right="4706"/>
        <w:rPr>
          <w:rFonts w:ascii="Arial" w:hAnsi="Arial" w:cs="Arial"/>
          <w:sz w:val="24"/>
          <w:szCs w:val="24"/>
        </w:rPr>
      </w:pPr>
    </w:p>
    <w:p w:rsidR="00BE40B4" w:rsidRDefault="00BE40B4" w:rsidP="00BE40B4">
      <w:pPr>
        <w:pStyle w:val="INF-FIRMA"/>
        <w:spacing w:after="0"/>
        <w:ind w:right="4706"/>
        <w:rPr>
          <w:rFonts w:ascii="Arial" w:hAnsi="Arial" w:cs="Arial"/>
          <w:sz w:val="24"/>
          <w:szCs w:val="24"/>
        </w:rPr>
      </w:pPr>
    </w:p>
    <w:p w:rsidR="00BE40B4" w:rsidRDefault="00BE40B4" w:rsidP="00BE40B4">
      <w:pPr>
        <w:pStyle w:val="INF-FIRMA"/>
        <w:spacing w:after="0"/>
        <w:ind w:right="4706"/>
        <w:rPr>
          <w:rFonts w:ascii="Arial" w:hAnsi="Arial" w:cs="Arial"/>
          <w:sz w:val="24"/>
          <w:szCs w:val="24"/>
        </w:rPr>
      </w:pPr>
    </w:p>
    <w:p w:rsidR="00BE40B4" w:rsidRPr="00AD19A5" w:rsidRDefault="00BE40B4" w:rsidP="00BE40B4">
      <w:pPr>
        <w:pStyle w:val="INF-FIRMA"/>
        <w:spacing w:after="0"/>
        <w:ind w:right="4706"/>
        <w:rPr>
          <w:rFonts w:ascii="Arial" w:hAnsi="Arial" w:cs="Arial"/>
          <w:sz w:val="24"/>
          <w:szCs w:val="24"/>
        </w:rPr>
      </w:pPr>
    </w:p>
    <w:p w:rsidR="007B05E5" w:rsidRPr="00AD19A5" w:rsidRDefault="007B05E5" w:rsidP="007B05E5">
      <w:pPr>
        <w:pStyle w:val="INF-FIRMA"/>
        <w:ind w:right="4706"/>
        <w:rPr>
          <w:rFonts w:ascii="Arial" w:hAnsi="Arial" w:cs="Arial"/>
          <w:smallCaps w:val="0"/>
          <w:sz w:val="24"/>
          <w:szCs w:val="24"/>
        </w:rPr>
      </w:pPr>
      <w:r w:rsidRPr="00AD19A5">
        <w:rPr>
          <w:rFonts w:ascii="Arial" w:hAnsi="Arial" w:cs="Arial"/>
          <w:smallCaps w:val="0"/>
          <w:sz w:val="24"/>
          <w:szCs w:val="24"/>
        </w:rPr>
        <w:t>Idoia Tajadura Tejada</w:t>
      </w:r>
    </w:p>
    <w:sectPr w:rsidR="007B05E5" w:rsidRPr="00AD19A5" w:rsidSect="00947750">
      <w:headerReference w:type="even" r:id="rId11"/>
      <w:headerReference w:type="default" r:id="rId12"/>
      <w:footerReference w:type="default" r:id="rId13"/>
      <w:pgSz w:w="11906" w:h="16838"/>
      <w:pgMar w:top="1560"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1C" w:rsidRDefault="002C091C">
      <w:pPr>
        <w:spacing w:after="0" w:line="240" w:lineRule="auto"/>
      </w:pPr>
      <w:r>
        <w:separator/>
      </w:r>
    </w:p>
  </w:endnote>
  <w:endnote w:type="continuationSeparator" w:id="0">
    <w:p w:rsidR="002C091C" w:rsidRDefault="002C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55509"/>
      <w:docPartObj>
        <w:docPartGallery w:val="Page Numbers (Bottom of Page)"/>
        <w:docPartUnique/>
      </w:docPartObj>
    </w:sdtPr>
    <w:sdtEndPr/>
    <w:sdtContent>
      <w:p w:rsidR="00AD5B0C" w:rsidRDefault="00AD5B0C">
        <w:pPr>
          <w:pStyle w:val="Piedepgina"/>
          <w:jc w:val="center"/>
        </w:pPr>
        <w:r>
          <w:fldChar w:fldCharType="begin"/>
        </w:r>
        <w:r>
          <w:instrText>PAGE   \* MERGEFORMAT</w:instrText>
        </w:r>
        <w:r>
          <w:fldChar w:fldCharType="separate"/>
        </w:r>
        <w:r w:rsidR="00D30C13">
          <w:rPr>
            <w:noProof/>
          </w:rPr>
          <w:t>5</w:t>
        </w:r>
        <w:r>
          <w:fldChar w:fldCharType="end"/>
        </w:r>
      </w:p>
    </w:sdtContent>
  </w:sdt>
  <w:p w:rsidR="00AD5B0C" w:rsidRDefault="00AD5B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1C" w:rsidRDefault="002C091C">
      <w:pPr>
        <w:spacing w:after="0" w:line="240" w:lineRule="auto"/>
      </w:pPr>
      <w:r>
        <w:separator/>
      </w:r>
    </w:p>
  </w:footnote>
  <w:footnote w:type="continuationSeparator" w:id="0">
    <w:p w:rsidR="002C091C" w:rsidRDefault="002C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FA" w:rsidRDefault="00D30C13">
    <w:pPr>
      <w:pStyle w:val="Textoindependiente"/>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FA" w:rsidRDefault="00D30C13">
    <w:pPr>
      <w:pStyle w:val="Textoindependiente"/>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97E"/>
    <w:multiLevelType w:val="hybridMultilevel"/>
    <w:tmpl w:val="3650F9CC"/>
    <w:lvl w:ilvl="0" w:tplc="EFF89ED8">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
    <w:nsid w:val="117A35AC"/>
    <w:multiLevelType w:val="hybridMultilevel"/>
    <w:tmpl w:val="9D960D64"/>
    <w:lvl w:ilvl="0" w:tplc="3AA88AB4">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E5"/>
    <w:rsid w:val="000069A9"/>
    <w:rsid w:val="000224A4"/>
    <w:rsid w:val="000733CD"/>
    <w:rsid w:val="00080F95"/>
    <w:rsid w:val="00083E80"/>
    <w:rsid w:val="000F6AAA"/>
    <w:rsid w:val="00250C06"/>
    <w:rsid w:val="00256944"/>
    <w:rsid w:val="002711FF"/>
    <w:rsid w:val="002C091C"/>
    <w:rsid w:val="003D0B8D"/>
    <w:rsid w:val="003D7000"/>
    <w:rsid w:val="00526A36"/>
    <w:rsid w:val="0054189B"/>
    <w:rsid w:val="0054372F"/>
    <w:rsid w:val="005477ED"/>
    <w:rsid w:val="005A55E2"/>
    <w:rsid w:val="005A61F9"/>
    <w:rsid w:val="005B7574"/>
    <w:rsid w:val="005D1203"/>
    <w:rsid w:val="005F19E5"/>
    <w:rsid w:val="00634235"/>
    <w:rsid w:val="006D171C"/>
    <w:rsid w:val="006D63AC"/>
    <w:rsid w:val="007741A0"/>
    <w:rsid w:val="007813B4"/>
    <w:rsid w:val="00797C4D"/>
    <w:rsid w:val="007A25B3"/>
    <w:rsid w:val="007B05E5"/>
    <w:rsid w:val="007F1456"/>
    <w:rsid w:val="007F1964"/>
    <w:rsid w:val="00862C69"/>
    <w:rsid w:val="0088747E"/>
    <w:rsid w:val="00910F27"/>
    <w:rsid w:val="009421A8"/>
    <w:rsid w:val="00947750"/>
    <w:rsid w:val="00981A06"/>
    <w:rsid w:val="009A1E9D"/>
    <w:rsid w:val="009B3D1B"/>
    <w:rsid w:val="009D0479"/>
    <w:rsid w:val="009E334C"/>
    <w:rsid w:val="00A444FF"/>
    <w:rsid w:val="00A65870"/>
    <w:rsid w:val="00A76856"/>
    <w:rsid w:val="00A93624"/>
    <w:rsid w:val="00A9431F"/>
    <w:rsid w:val="00AD19A5"/>
    <w:rsid w:val="00AD5B0C"/>
    <w:rsid w:val="00AE193B"/>
    <w:rsid w:val="00B34C2F"/>
    <w:rsid w:val="00B36B49"/>
    <w:rsid w:val="00B52CAA"/>
    <w:rsid w:val="00B621C8"/>
    <w:rsid w:val="00B84C87"/>
    <w:rsid w:val="00BA0EB2"/>
    <w:rsid w:val="00BE40B4"/>
    <w:rsid w:val="00C52F26"/>
    <w:rsid w:val="00C644CE"/>
    <w:rsid w:val="00C6705C"/>
    <w:rsid w:val="00C90D44"/>
    <w:rsid w:val="00CA0D8B"/>
    <w:rsid w:val="00CC3002"/>
    <w:rsid w:val="00D27027"/>
    <w:rsid w:val="00D3013C"/>
    <w:rsid w:val="00D30C13"/>
    <w:rsid w:val="00D33C02"/>
    <w:rsid w:val="00D6743D"/>
    <w:rsid w:val="00D97571"/>
    <w:rsid w:val="00DE110D"/>
    <w:rsid w:val="00E15CDD"/>
    <w:rsid w:val="00E4266D"/>
    <w:rsid w:val="00E73FB8"/>
    <w:rsid w:val="00E85653"/>
    <w:rsid w:val="00EB68C8"/>
    <w:rsid w:val="00ED0FC5"/>
    <w:rsid w:val="00ED62E3"/>
    <w:rsid w:val="00F113BC"/>
    <w:rsid w:val="00F6381E"/>
    <w:rsid w:val="00F71C45"/>
    <w:rsid w:val="00F97687"/>
    <w:rsid w:val="00FC5B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FICIO-12">
    <w:name w:val="OFICIO-12"/>
    <w:basedOn w:val="Normal"/>
    <w:rsid w:val="007B05E5"/>
    <w:pPr>
      <w:overflowPunct w:val="0"/>
      <w:autoSpaceDE w:val="0"/>
      <w:autoSpaceDN w:val="0"/>
      <w:adjustRightInd w:val="0"/>
      <w:spacing w:before="120" w:after="120" w:line="240" w:lineRule="auto"/>
      <w:ind w:firstLine="425"/>
      <w:jc w:val="both"/>
      <w:textAlignment w:val="baseline"/>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7B05E5"/>
    <w:pPr>
      <w:spacing w:after="120"/>
    </w:pPr>
  </w:style>
  <w:style w:type="character" w:customStyle="1" w:styleId="TextoindependienteCar">
    <w:name w:val="Texto independiente Car"/>
    <w:basedOn w:val="Fuentedeprrafopredeter"/>
    <w:link w:val="Textoindependiente"/>
    <w:uiPriority w:val="99"/>
    <w:semiHidden/>
    <w:rsid w:val="007B05E5"/>
  </w:style>
  <w:style w:type="paragraph" w:customStyle="1" w:styleId="INF-INFORME">
    <w:name w:val="INF-INFORME"/>
    <w:rsid w:val="007B05E5"/>
    <w:pPr>
      <w:spacing w:before="360" w:after="480" w:line="240" w:lineRule="auto"/>
      <w:jc w:val="center"/>
    </w:pPr>
    <w:rPr>
      <w:rFonts w:ascii="Arial" w:eastAsia="Times New Roman" w:hAnsi="Arial" w:cs="Times New Roman"/>
      <w:b/>
      <w:caps/>
      <w:sz w:val="28"/>
      <w:szCs w:val="20"/>
      <w:lang w:eastAsia="es-ES"/>
    </w:rPr>
  </w:style>
  <w:style w:type="paragraph" w:customStyle="1" w:styleId="INF-TEXTO">
    <w:name w:val="INF-TEXTO"/>
    <w:rsid w:val="007B05E5"/>
    <w:pPr>
      <w:tabs>
        <w:tab w:val="left" w:pos="992"/>
      </w:tabs>
      <w:spacing w:after="300" w:line="340" w:lineRule="exact"/>
      <w:ind w:firstLine="567"/>
      <w:jc w:val="both"/>
    </w:pPr>
    <w:rPr>
      <w:rFonts w:ascii="Arial" w:eastAsia="Times New Roman" w:hAnsi="Arial" w:cs="Times New Roman"/>
      <w:sz w:val="24"/>
      <w:szCs w:val="20"/>
      <w:lang w:eastAsia="es-ES"/>
    </w:rPr>
  </w:style>
  <w:style w:type="paragraph" w:customStyle="1" w:styleId="INF-FECHA">
    <w:name w:val="INF-FECHA"/>
    <w:rsid w:val="007B05E5"/>
    <w:pPr>
      <w:spacing w:after="0" w:line="240" w:lineRule="auto"/>
      <w:jc w:val="center"/>
    </w:pPr>
    <w:rPr>
      <w:rFonts w:ascii="Arial" w:eastAsia="Times New Roman" w:hAnsi="Arial" w:cs="Times New Roman"/>
      <w:sz w:val="24"/>
      <w:szCs w:val="20"/>
      <w:lang w:eastAsia="es-ES"/>
    </w:rPr>
  </w:style>
  <w:style w:type="paragraph" w:customStyle="1" w:styleId="INF-FIRMA">
    <w:name w:val="INF-FIRMA"/>
    <w:rsid w:val="007B05E5"/>
    <w:pPr>
      <w:spacing w:after="1100" w:line="240" w:lineRule="auto"/>
      <w:jc w:val="center"/>
    </w:pPr>
    <w:rPr>
      <w:rFonts w:ascii="Arial (W1)" w:eastAsia="Times New Roman" w:hAnsi="Arial (W1)" w:cs="Times New Roman"/>
      <w:smallCaps/>
      <w:sz w:val="28"/>
      <w:szCs w:val="20"/>
      <w:lang w:eastAsia="es-ES"/>
    </w:rPr>
  </w:style>
  <w:style w:type="paragraph" w:styleId="Piedepgina">
    <w:name w:val="footer"/>
    <w:basedOn w:val="Normal"/>
    <w:link w:val="PiedepginaCar"/>
    <w:uiPriority w:val="99"/>
    <w:unhideWhenUsed/>
    <w:rsid w:val="00AD5B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B0C"/>
  </w:style>
  <w:style w:type="paragraph" w:styleId="Encabezado">
    <w:name w:val="header"/>
    <w:basedOn w:val="Normal"/>
    <w:link w:val="EncabezadoCar"/>
    <w:uiPriority w:val="99"/>
    <w:unhideWhenUsed/>
    <w:rsid w:val="00AD5B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B0C"/>
  </w:style>
  <w:style w:type="paragraph" w:customStyle="1" w:styleId="articulo">
    <w:name w:val="articulo"/>
    <w:basedOn w:val="Normal"/>
    <w:rsid w:val="00F6381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F6381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FICIO-12">
    <w:name w:val="OFICIO-12"/>
    <w:basedOn w:val="Normal"/>
    <w:rsid w:val="007B05E5"/>
    <w:pPr>
      <w:overflowPunct w:val="0"/>
      <w:autoSpaceDE w:val="0"/>
      <w:autoSpaceDN w:val="0"/>
      <w:adjustRightInd w:val="0"/>
      <w:spacing w:before="120" w:after="120" w:line="240" w:lineRule="auto"/>
      <w:ind w:firstLine="425"/>
      <w:jc w:val="both"/>
      <w:textAlignment w:val="baseline"/>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7B05E5"/>
    <w:pPr>
      <w:spacing w:after="120"/>
    </w:pPr>
  </w:style>
  <w:style w:type="character" w:customStyle="1" w:styleId="TextoindependienteCar">
    <w:name w:val="Texto independiente Car"/>
    <w:basedOn w:val="Fuentedeprrafopredeter"/>
    <w:link w:val="Textoindependiente"/>
    <w:uiPriority w:val="99"/>
    <w:semiHidden/>
    <w:rsid w:val="007B05E5"/>
  </w:style>
  <w:style w:type="paragraph" w:customStyle="1" w:styleId="INF-INFORME">
    <w:name w:val="INF-INFORME"/>
    <w:rsid w:val="007B05E5"/>
    <w:pPr>
      <w:spacing w:before="360" w:after="480" w:line="240" w:lineRule="auto"/>
      <w:jc w:val="center"/>
    </w:pPr>
    <w:rPr>
      <w:rFonts w:ascii="Arial" w:eastAsia="Times New Roman" w:hAnsi="Arial" w:cs="Times New Roman"/>
      <w:b/>
      <w:caps/>
      <w:sz w:val="28"/>
      <w:szCs w:val="20"/>
      <w:lang w:eastAsia="es-ES"/>
    </w:rPr>
  </w:style>
  <w:style w:type="paragraph" w:customStyle="1" w:styleId="INF-TEXTO">
    <w:name w:val="INF-TEXTO"/>
    <w:rsid w:val="007B05E5"/>
    <w:pPr>
      <w:tabs>
        <w:tab w:val="left" w:pos="992"/>
      </w:tabs>
      <w:spacing w:after="300" w:line="340" w:lineRule="exact"/>
      <w:ind w:firstLine="567"/>
      <w:jc w:val="both"/>
    </w:pPr>
    <w:rPr>
      <w:rFonts w:ascii="Arial" w:eastAsia="Times New Roman" w:hAnsi="Arial" w:cs="Times New Roman"/>
      <w:sz w:val="24"/>
      <w:szCs w:val="20"/>
      <w:lang w:eastAsia="es-ES"/>
    </w:rPr>
  </w:style>
  <w:style w:type="paragraph" w:customStyle="1" w:styleId="INF-FECHA">
    <w:name w:val="INF-FECHA"/>
    <w:rsid w:val="007B05E5"/>
    <w:pPr>
      <w:spacing w:after="0" w:line="240" w:lineRule="auto"/>
      <w:jc w:val="center"/>
    </w:pPr>
    <w:rPr>
      <w:rFonts w:ascii="Arial" w:eastAsia="Times New Roman" w:hAnsi="Arial" w:cs="Times New Roman"/>
      <w:sz w:val="24"/>
      <w:szCs w:val="20"/>
      <w:lang w:eastAsia="es-ES"/>
    </w:rPr>
  </w:style>
  <w:style w:type="paragraph" w:customStyle="1" w:styleId="INF-FIRMA">
    <w:name w:val="INF-FIRMA"/>
    <w:rsid w:val="007B05E5"/>
    <w:pPr>
      <w:spacing w:after="1100" w:line="240" w:lineRule="auto"/>
      <w:jc w:val="center"/>
    </w:pPr>
    <w:rPr>
      <w:rFonts w:ascii="Arial (W1)" w:eastAsia="Times New Roman" w:hAnsi="Arial (W1)" w:cs="Times New Roman"/>
      <w:smallCaps/>
      <w:sz w:val="28"/>
      <w:szCs w:val="20"/>
      <w:lang w:eastAsia="es-ES"/>
    </w:rPr>
  </w:style>
  <w:style w:type="paragraph" w:styleId="Piedepgina">
    <w:name w:val="footer"/>
    <w:basedOn w:val="Normal"/>
    <w:link w:val="PiedepginaCar"/>
    <w:uiPriority w:val="99"/>
    <w:unhideWhenUsed/>
    <w:rsid w:val="00AD5B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B0C"/>
  </w:style>
  <w:style w:type="paragraph" w:styleId="Encabezado">
    <w:name w:val="header"/>
    <w:basedOn w:val="Normal"/>
    <w:link w:val="EncabezadoCar"/>
    <w:uiPriority w:val="99"/>
    <w:unhideWhenUsed/>
    <w:rsid w:val="00AD5B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B0C"/>
  </w:style>
  <w:style w:type="paragraph" w:customStyle="1" w:styleId="articulo">
    <w:name w:val="articulo"/>
    <w:basedOn w:val="Normal"/>
    <w:rsid w:val="00F6381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F6381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G:\User\ARCHIVO\INFORMES\Legislatura%20IX%202015-2019\Manuel\::Escudo%20Parlamento%20negr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F707-5D1B-4354-8DEF-26EA9C92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1546</Words>
  <Characters>8508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Pulido</dc:creator>
  <cp:lastModifiedBy>Eduardo</cp:lastModifiedBy>
  <cp:revision>6</cp:revision>
  <cp:lastPrinted>2016-11-11T08:54:00Z</cp:lastPrinted>
  <dcterms:created xsi:type="dcterms:W3CDTF">2016-11-11T07:12:00Z</dcterms:created>
  <dcterms:modified xsi:type="dcterms:W3CDTF">2016-11-11T08:59:00Z</dcterms:modified>
</cp:coreProperties>
</file>